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1BBD7" w14:textId="6A6808CB" w:rsidR="00B6112F" w:rsidRPr="00A260ED" w:rsidRDefault="007F720C" w:rsidP="00B6112F">
      <w:pPr>
        <w:pStyle w:val="TextTi12"/>
        <w:rPr>
          <w:b/>
          <w:sz w:val="22"/>
        </w:rPr>
      </w:pPr>
      <w:bookmarkStart w:id="0" w:name="_GoBack"/>
      <w:bookmarkEnd w:id="0"/>
      <w:r>
        <w:rPr>
          <w:b/>
          <w:sz w:val="44"/>
        </w:rPr>
        <w:t>Gazyvaro</w:t>
      </w:r>
      <w:r w:rsidR="00B6112F" w:rsidRPr="00A260ED">
        <w:rPr>
          <w:b/>
          <w:sz w:val="44"/>
        </w:rPr>
        <w:t>®</w:t>
      </w:r>
    </w:p>
    <w:p w14:paraId="6B2014A6" w14:textId="77777777" w:rsidR="00EB2A24" w:rsidRPr="00A260ED" w:rsidRDefault="00EB2A24" w:rsidP="00D56997">
      <w:pPr>
        <w:pStyle w:val="Heading1"/>
        <w:numPr>
          <w:ilvl w:val="0"/>
          <w:numId w:val="0"/>
        </w:numPr>
        <w:ind w:left="1134" w:hanging="1134"/>
        <w:rPr>
          <w:rFonts w:ascii="Times New Roman" w:hAnsi="Times New Roman"/>
          <w:sz w:val="22"/>
          <w:lang w:val="en-GB"/>
        </w:rPr>
      </w:pPr>
    </w:p>
    <w:p w14:paraId="48C51393" w14:textId="77777777" w:rsidR="00D56997" w:rsidRPr="00D56997" w:rsidRDefault="00D56997" w:rsidP="00D56997">
      <w:pPr>
        <w:pStyle w:val="TextTi12"/>
        <w:rPr>
          <w:sz w:val="21"/>
          <w:szCs w:val="21"/>
          <w:lang w:val="en-GB"/>
        </w:rPr>
      </w:pPr>
      <w:r w:rsidRPr="00D56997">
        <w:rPr>
          <w:sz w:val="21"/>
          <w:szCs w:val="21"/>
          <w:lang w:val="en-GB"/>
        </w:rPr>
        <w:t>Obinutuzumab</w:t>
      </w:r>
    </w:p>
    <w:p w14:paraId="4B8CBE33" w14:textId="4501C8EE" w:rsidR="00EB2A24" w:rsidRPr="001234BF" w:rsidRDefault="008A6B20" w:rsidP="00EB2A24">
      <w:pPr>
        <w:pStyle w:val="Heading1"/>
        <w:numPr>
          <w:ilvl w:val="0"/>
          <w:numId w:val="0"/>
        </w:numPr>
        <w:ind w:left="1134" w:hanging="1134"/>
        <w:rPr>
          <w:rFonts w:ascii="Times New Roman" w:hAnsi="Times New Roman" w:cs="Times New Roman"/>
          <w:sz w:val="22"/>
          <w:szCs w:val="22"/>
          <w:lang w:val="en-GB"/>
        </w:rPr>
      </w:pPr>
      <w:r>
        <w:rPr>
          <w:noProof/>
          <w:lang w:eastAsia="en-US"/>
        </w:rPr>
        <mc:AlternateContent>
          <mc:Choice Requires="wps">
            <w:drawing>
              <wp:anchor distT="0" distB="0" distL="114300" distR="114300" simplePos="0" relativeHeight="251659264" behindDoc="0" locked="0" layoutInCell="1" allowOverlap="1" wp14:anchorId="0E12AEF0" wp14:editId="09596198">
                <wp:simplePos x="0" y="0"/>
                <wp:positionH relativeFrom="column">
                  <wp:posOffset>0</wp:posOffset>
                </wp:positionH>
                <wp:positionV relativeFrom="paragraph">
                  <wp:posOffset>125730</wp:posOffset>
                </wp:positionV>
                <wp:extent cx="5846445" cy="13970"/>
                <wp:effectExtent l="0" t="0" r="190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46445" cy="1397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71277E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9.9pt" to="460.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" strokecolor="windowText" strokeweight=".5pt">
                <v:stroke joinstyle="miter"/>
                <o:lock v:ext="edit" shapetype="f"/>
              </v:line>
            </w:pict>
          </mc:Fallback>
        </mc:AlternateContent>
      </w:r>
    </w:p>
    <w:p w14:paraId="71699586" w14:textId="77777777" w:rsidR="00B6112F" w:rsidRPr="00A260ED" w:rsidRDefault="00B6112F" w:rsidP="00EB2A24">
      <w:pPr>
        <w:pStyle w:val="Heading1"/>
        <w:numPr>
          <w:ilvl w:val="0"/>
          <w:numId w:val="0"/>
        </w:numPr>
        <w:ind w:left="1134" w:hanging="1134"/>
        <w:rPr>
          <w:rFonts w:ascii="Times New Roman" w:eastAsia="MS Mincho" w:hAnsi="Times New Roman"/>
          <w:caps/>
          <w:sz w:val="22"/>
          <w:lang w:val="en-GB"/>
        </w:rPr>
      </w:pPr>
      <w:r w:rsidRPr="00A260ED">
        <w:rPr>
          <w:rFonts w:ascii="Times New Roman" w:eastAsia="MS Mincho" w:hAnsi="Times New Roman"/>
          <w:sz w:val="22"/>
          <w:lang w:val="en-GB"/>
        </w:rPr>
        <w:t>Composition</w:t>
      </w:r>
    </w:p>
    <w:p w14:paraId="7A9A1E34" w14:textId="77777777" w:rsidR="00B6112F" w:rsidRPr="00A260ED" w:rsidRDefault="00B6112F" w:rsidP="00B6112F">
      <w:pPr>
        <w:pStyle w:val="Heading2"/>
        <w:numPr>
          <w:ilvl w:val="0"/>
          <w:numId w:val="0"/>
        </w:numPr>
        <w:ind w:left="1134" w:hanging="1134"/>
        <w:rPr>
          <w:rFonts w:ascii="Times New Roman" w:hAnsi="Times New Roman"/>
          <w:sz w:val="22"/>
        </w:rPr>
      </w:pPr>
      <w:r w:rsidRPr="00A260ED">
        <w:rPr>
          <w:rFonts w:ascii="Times New Roman" w:hAnsi="Times New Roman"/>
          <w:sz w:val="22"/>
          <w:lang w:val="en-GB"/>
        </w:rPr>
        <w:t xml:space="preserve">Active </w:t>
      </w:r>
      <w:r w:rsidRPr="00A260ED">
        <w:rPr>
          <w:rFonts w:ascii="Times New Roman" w:hAnsi="Times New Roman"/>
          <w:sz w:val="22"/>
        </w:rPr>
        <w:t>substances</w:t>
      </w:r>
    </w:p>
    <w:p w14:paraId="058599B8"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rPr>
        <w:t>Obinutuzumab</w:t>
      </w:r>
      <w:r w:rsidRPr="00A260ED">
        <w:rPr>
          <w:rFonts w:ascii="Times New Roman" w:hAnsi="Times New Roman"/>
        </w:rPr>
        <w:t xml:space="preserve"> (manufactured by recombinant DNA technology using CHO [Chinese hamster ovary] cells).</w:t>
      </w:r>
    </w:p>
    <w:p w14:paraId="7166DFD0" w14:textId="77777777" w:rsidR="00B6112F" w:rsidRPr="00A260ED" w:rsidRDefault="00B6112F" w:rsidP="00B6112F">
      <w:pPr>
        <w:pStyle w:val="Heading2"/>
        <w:numPr>
          <w:ilvl w:val="0"/>
          <w:numId w:val="0"/>
        </w:numPr>
        <w:ind w:left="1134" w:hanging="1134"/>
        <w:rPr>
          <w:rFonts w:ascii="Times New Roman" w:hAnsi="Times New Roman"/>
          <w:sz w:val="22"/>
        </w:rPr>
      </w:pPr>
      <w:r w:rsidRPr="00A260ED">
        <w:rPr>
          <w:rFonts w:ascii="Times New Roman" w:hAnsi="Times New Roman"/>
          <w:sz w:val="22"/>
        </w:rPr>
        <w:t>Excipients</w:t>
      </w:r>
    </w:p>
    <w:p w14:paraId="12A522B4"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rPr>
        <w:t>L-</w:t>
      </w:r>
      <w:r w:rsidRPr="00A260ED">
        <w:rPr>
          <w:rFonts w:ascii="Times New Roman" w:hAnsi="Times New Roman"/>
        </w:rPr>
        <w:t xml:space="preserve">Histidine, </w:t>
      </w:r>
      <w:r w:rsidRPr="00A260ED">
        <w:rPr>
          <w:rFonts w:ascii="Times New Roman" w:eastAsia="MS Mincho" w:hAnsi="Times New Roman"/>
        </w:rPr>
        <w:t>L-histidine hydrochloride</w:t>
      </w:r>
      <w:r w:rsidRPr="00A260ED">
        <w:rPr>
          <w:rFonts w:ascii="Times New Roman" w:hAnsi="Times New Roman"/>
        </w:rPr>
        <w:t xml:space="preserve"> monohydrate</w:t>
      </w:r>
      <w:r w:rsidRPr="00A260ED">
        <w:rPr>
          <w:rFonts w:ascii="Times New Roman" w:eastAsia="MS Mincho" w:hAnsi="Times New Roman"/>
        </w:rPr>
        <w:t>, trehalose</w:t>
      </w:r>
      <w:r w:rsidRPr="00A260ED">
        <w:rPr>
          <w:rFonts w:ascii="Times New Roman" w:hAnsi="Times New Roman"/>
        </w:rPr>
        <w:t xml:space="preserve"> dihydrate</w:t>
      </w:r>
      <w:r w:rsidRPr="00A260ED">
        <w:rPr>
          <w:rFonts w:ascii="Times New Roman" w:eastAsia="MS Mincho" w:hAnsi="Times New Roman"/>
        </w:rPr>
        <w:t>, poloxamer 188, water for injection.</w:t>
      </w:r>
    </w:p>
    <w:p w14:paraId="64311BD8" w14:textId="77777777" w:rsidR="00B6112F" w:rsidRPr="00A260ED" w:rsidRDefault="00B6112F" w:rsidP="00EB2A24">
      <w:pPr>
        <w:pStyle w:val="Heading1"/>
        <w:numPr>
          <w:ilvl w:val="0"/>
          <w:numId w:val="0"/>
        </w:numPr>
        <w:ind w:left="1134" w:hanging="1134"/>
        <w:rPr>
          <w:rFonts w:ascii="Times New Roman" w:hAnsi="Times New Roman"/>
          <w:sz w:val="22"/>
        </w:rPr>
      </w:pPr>
      <w:r w:rsidRPr="00A260ED">
        <w:rPr>
          <w:rFonts w:ascii="Times New Roman" w:hAnsi="Times New Roman"/>
          <w:sz w:val="22"/>
        </w:rPr>
        <w:t>Pharmaceutical form and active substance quantity per unit</w:t>
      </w:r>
    </w:p>
    <w:p w14:paraId="4B06201C"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rPr>
        <w:t>Concentrate for solution for infusion.</w:t>
      </w:r>
    </w:p>
    <w:p w14:paraId="450AA890"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rPr>
        <w:t>Each 40</w:t>
      </w:r>
      <w:r w:rsidRPr="00A260ED">
        <w:rPr>
          <w:rFonts w:ascii="Times New Roman" w:hAnsi="Times New Roman"/>
        </w:rPr>
        <w:t xml:space="preserve"> </w:t>
      </w:r>
      <w:r w:rsidRPr="00A260ED">
        <w:rPr>
          <w:rFonts w:ascii="Times New Roman" w:eastAsia="MS Mincho" w:hAnsi="Times New Roman"/>
        </w:rPr>
        <w:t>ml vial contains 1000</w:t>
      </w:r>
      <w:r w:rsidRPr="00A260ED">
        <w:rPr>
          <w:rFonts w:ascii="Times New Roman" w:hAnsi="Times New Roman"/>
        </w:rPr>
        <w:t xml:space="preserve"> </w:t>
      </w:r>
      <w:r w:rsidRPr="00A260ED">
        <w:rPr>
          <w:rFonts w:ascii="Times New Roman" w:eastAsia="MS Mincho" w:hAnsi="Times New Roman"/>
        </w:rPr>
        <w:t>mg obinutuzumab.</w:t>
      </w:r>
    </w:p>
    <w:p w14:paraId="44F186B6" w14:textId="77777777" w:rsidR="00B6112F" w:rsidRPr="00A260ED" w:rsidRDefault="00B6112F" w:rsidP="00EB2A24">
      <w:pPr>
        <w:pStyle w:val="Heading2"/>
        <w:numPr>
          <w:ilvl w:val="0"/>
          <w:numId w:val="0"/>
        </w:numPr>
        <w:ind w:left="1134" w:hanging="1134"/>
        <w:rPr>
          <w:rFonts w:ascii="Times New Roman" w:eastAsia="MS Mincho" w:hAnsi="Times New Roman"/>
          <w:i/>
          <w:sz w:val="22"/>
          <w:lang w:val="en-GB"/>
        </w:rPr>
      </w:pPr>
      <w:r w:rsidRPr="00A260ED">
        <w:rPr>
          <w:rFonts w:ascii="Times New Roman" w:hAnsi="Times New Roman"/>
          <w:sz w:val="22"/>
        </w:rPr>
        <w:t>Indications/Uses</w:t>
      </w:r>
      <w:r w:rsidRPr="00A260ED">
        <w:rPr>
          <w:rFonts w:ascii="Times New Roman" w:eastAsia="MS Mincho" w:hAnsi="Times New Roman"/>
          <w:sz w:val="22"/>
          <w:lang w:val="en-GB"/>
        </w:rPr>
        <w:t xml:space="preserve">Chronic lymphocytic </w:t>
      </w:r>
      <w:r w:rsidRPr="00A260ED">
        <w:rPr>
          <w:rFonts w:ascii="Times New Roman" w:hAnsi="Times New Roman"/>
          <w:sz w:val="22"/>
        </w:rPr>
        <w:t>leukaemia</w:t>
      </w:r>
    </w:p>
    <w:p w14:paraId="00C9CB43" w14:textId="3A2DD3EB" w:rsidR="00B6112F" w:rsidRPr="00A260ED" w:rsidRDefault="007F720C" w:rsidP="00EB2A24">
      <w:pPr>
        <w:pStyle w:val="J1"/>
        <w:rPr>
          <w:rFonts w:ascii="Times New Roman" w:eastAsia="MS Mincho" w:hAnsi="Times New Roman"/>
        </w:rPr>
      </w:pPr>
      <w:r>
        <w:rPr>
          <w:rFonts w:ascii="Times New Roman" w:eastAsia="MS Mincho" w:hAnsi="Times New Roman"/>
        </w:rPr>
        <w:t>Gazyvaro</w:t>
      </w:r>
      <w:r w:rsidR="00B6112F" w:rsidRPr="00A260ED">
        <w:rPr>
          <w:rFonts w:ascii="Times New Roman" w:eastAsia="MS Mincho" w:hAnsi="Times New Roman"/>
        </w:rPr>
        <w:t xml:space="preserve"> in combination with chlorambucil is indicated for the treatment of patients with previously untreated chronic lymphocytic </w:t>
      </w:r>
      <w:r w:rsidR="00B6112F" w:rsidRPr="00A260ED">
        <w:rPr>
          <w:rFonts w:ascii="Times New Roman" w:hAnsi="Times New Roman"/>
        </w:rPr>
        <w:t>leukaemia</w:t>
      </w:r>
      <w:r w:rsidR="00B6112F" w:rsidRPr="00A260ED">
        <w:rPr>
          <w:rFonts w:ascii="Times New Roman" w:eastAsia="MS Mincho" w:hAnsi="Times New Roman"/>
        </w:rPr>
        <w:t xml:space="preserve"> (CLL) and additional comorbidities.</w:t>
      </w:r>
    </w:p>
    <w:p w14:paraId="58878655" w14:textId="77777777" w:rsidR="00B6112F" w:rsidRPr="00A260ED" w:rsidRDefault="00B6112F" w:rsidP="00EB2A24">
      <w:pPr>
        <w:pStyle w:val="Heading2"/>
        <w:numPr>
          <w:ilvl w:val="0"/>
          <w:numId w:val="0"/>
        </w:numPr>
        <w:ind w:left="1134" w:hanging="1134"/>
        <w:rPr>
          <w:rFonts w:ascii="Times New Roman" w:eastAsia="MS Mincho" w:hAnsi="Times New Roman"/>
          <w:i/>
          <w:sz w:val="22"/>
          <w:lang w:val="en-GB"/>
        </w:rPr>
      </w:pPr>
      <w:r w:rsidRPr="00A260ED">
        <w:rPr>
          <w:rFonts w:ascii="Times New Roman" w:eastAsia="MS Mincho" w:hAnsi="Times New Roman"/>
          <w:sz w:val="22"/>
          <w:lang w:val="en-GB"/>
        </w:rPr>
        <w:t>Follicular lymphoma</w:t>
      </w:r>
    </w:p>
    <w:p w14:paraId="62393F2C" w14:textId="0D6E25D2" w:rsidR="00B6112F" w:rsidRPr="00A260ED" w:rsidRDefault="007F720C">
      <w:pPr>
        <w:pStyle w:val="J1"/>
        <w:rPr>
          <w:rFonts w:ascii="Times New Roman" w:hAnsi="Times New Roman"/>
        </w:rPr>
      </w:pPr>
      <w:r>
        <w:rPr>
          <w:rFonts w:ascii="Times New Roman" w:hAnsi="Times New Roman"/>
        </w:rPr>
        <w:t>Gazyvaro</w:t>
      </w:r>
      <w:r w:rsidR="00B6112F" w:rsidRPr="00A260ED">
        <w:rPr>
          <w:rFonts w:ascii="Times New Roman" w:hAnsi="Times New Roman"/>
        </w:rPr>
        <w:t xml:space="preserve"> in combination with chemotherapy followed by subsequent maintenance therapy (for a maximum of 2 years) is indicated for the treatment of patients with previously untreated follicular lymphoma (FL) who require systemic therapy. For therapeutic indication, see “Clinical efficacy”, and for the duration of induction and maintenance therapy, see “Dosage/Administration”.</w:t>
      </w:r>
    </w:p>
    <w:p w14:paraId="49396D8D" w14:textId="61220145" w:rsidR="00B6112F" w:rsidRPr="00A260ED" w:rsidRDefault="007F720C" w:rsidP="00EB2A24">
      <w:pPr>
        <w:pStyle w:val="J1"/>
        <w:rPr>
          <w:rFonts w:ascii="Times New Roman" w:eastAsia="MS Mincho" w:hAnsi="Times New Roman"/>
        </w:rPr>
      </w:pPr>
      <w:r>
        <w:rPr>
          <w:rFonts w:ascii="Times New Roman" w:eastAsia="MS Mincho" w:hAnsi="Times New Roman"/>
        </w:rPr>
        <w:t>Gazyvaro</w:t>
      </w:r>
      <w:r w:rsidR="00B6112F" w:rsidRPr="00A260ED">
        <w:rPr>
          <w:rFonts w:ascii="Times New Roman" w:eastAsia="MS Mincho" w:hAnsi="Times New Roman"/>
        </w:rPr>
        <w:t xml:space="preserve"> in combination with bendamustine, followed by </w:t>
      </w:r>
      <w:r>
        <w:rPr>
          <w:rFonts w:ascii="Times New Roman" w:eastAsia="MS Mincho" w:hAnsi="Times New Roman"/>
        </w:rPr>
        <w:t>Gazyvaro</w:t>
      </w:r>
      <w:r w:rsidR="00B6112F" w:rsidRPr="00A260ED">
        <w:rPr>
          <w:rFonts w:ascii="Times New Roman" w:eastAsia="MS Mincho" w:hAnsi="Times New Roman"/>
        </w:rPr>
        <w:t xml:space="preserve"> maintenance therapy (for a maximum </w:t>
      </w:r>
      <w:proofErr w:type="gramStart"/>
      <w:r w:rsidR="00B6112F" w:rsidRPr="00A260ED">
        <w:rPr>
          <w:rFonts w:ascii="Times New Roman" w:eastAsia="MS Mincho" w:hAnsi="Times New Roman"/>
        </w:rPr>
        <w:t>of</w:t>
      </w:r>
      <w:proofErr w:type="gramEnd"/>
      <w:r w:rsidR="00B6112F" w:rsidRPr="00A260ED">
        <w:rPr>
          <w:rFonts w:ascii="Times New Roman" w:eastAsia="MS Mincho" w:hAnsi="Times New Roman"/>
        </w:rPr>
        <w:t xml:space="preserve"> 2</w:t>
      </w:r>
      <w:r w:rsidR="00B6112F" w:rsidRPr="00A260ED">
        <w:rPr>
          <w:rFonts w:ascii="Times New Roman" w:hAnsi="Times New Roman"/>
        </w:rPr>
        <w:t> </w:t>
      </w:r>
      <w:r w:rsidR="00B6112F" w:rsidRPr="00A260ED">
        <w:rPr>
          <w:rFonts w:ascii="Times New Roman" w:eastAsia="MS Mincho" w:hAnsi="Times New Roman"/>
        </w:rPr>
        <w:t>years), is indicated for the treatment of patients with follicular lymphoma (FL) who have not responded to therapy or have progressed during or after treatment with rituximab or a rituximab-containing regimen.</w:t>
      </w:r>
    </w:p>
    <w:p w14:paraId="3B2C89A6"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For the duration of induction and maintenance therapy, see </w:t>
      </w:r>
      <w:r w:rsidRPr="00A260ED">
        <w:rPr>
          <w:rFonts w:ascii="Times New Roman" w:hAnsi="Times New Roman"/>
        </w:rPr>
        <w:t>“</w:t>
      </w:r>
      <w:r w:rsidRPr="00A260ED">
        <w:rPr>
          <w:rFonts w:ascii="Times New Roman" w:eastAsia="MS Mincho" w:hAnsi="Times New Roman"/>
        </w:rPr>
        <w:t>Dosage</w:t>
      </w:r>
      <w:r w:rsidRPr="00A260ED">
        <w:rPr>
          <w:rFonts w:ascii="Times New Roman" w:hAnsi="Times New Roman"/>
        </w:rPr>
        <w:t>/Administration”.</w:t>
      </w:r>
    </w:p>
    <w:p w14:paraId="36A96D76" w14:textId="77777777" w:rsidR="00B6112F" w:rsidRPr="00A260ED" w:rsidRDefault="00B6112F" w:rsidP="00EB2A24">
      <w:pPr>
        <w:pStyle w:val="Heading1"/>
        <w:numPr>
          <w:ilvl w:val="0"/>
          <w:numId w:val="0"/>
        </w:numPr>
        <w:ind w:left="1134" w:hanging="1134"/>
        <w:rPr>
          <w:rFonts w:ascii="Times New Roman" w:hAnsi="Times New Roman"/>
          <w:sz w:val="22"/>
        </w:rPr>
      </w:pPr>
      <w:r w:rsidRPr="00A260ED">
        <w:rPr>
          <w:rFonts w:ascii="Times New Roman" w:hAnsi="Times New Roman"/>
          <w:sz w:val="22"/>
        </w:rPr>
        <w:t>Dosage/Administration</w:t>
      </w:r>
    </w:p>
    <w:p w14:paraId="1CD91EA3" w14:textId="03E65AFF"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Treatment with </w:t>
      </w:r>
      <w:r w:rsidR="007F720C">
        <w:rPr>
          <w:rFonts w:ascii="Times New Roman" w:eastAsia="MS Mincho" w:hAnsi="Times New Roman"/>
        </w:rPr>
        <w:t>Gazyvaro</w:t>
      </w:r>
      <w:r w:rsidRPr="00A260ED">
        <w:rPr>
          <w:rFonts w:ascii="Times New Roman" w:eastAsia="MS Mincho" w:hAnsi="Times New Roman"/>
        </w:rPr>
        <w:t xml:space="preserve"> should only be conducted under the supervision of a medical specialist experienced in the management of cancer patients. The infusion should only be administered in a place where full resuscitation facilities are immediately available and under the close supervision of an experienced physician.</w:t>
      </w:r>
    </w:p>
    <w:p w14:paraId="507913BA"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rPr>
        <w:t>To ensure the traceability of biological medicinal products, it is recommended that the trade name and batch number be documented with every treatment.</w:t>
      </w:r>
    </w:p>
    <w:p w14:paraId="4FF6AF78" w14:textId="77777777" w:rsidR="00B6112F" w:rsidRPr="00A260ED" w:rsidRDefault="00B6112F" w:rsidP="00EB2A24">
      <w:pPr>
        <w:pStyle w:val="Heading2"/>
        <w:numPr>
          <w:ilvl w:val="0"/>
          <w:numId w:val="0"/>
        </w:numPr>
        <w:ind w:left="1134" w:hanging="1134"/>
        <w:rPr>
          <w:rFonts w:ascii="Times New Roman" w:eastAsia="MS Mincho" w:hAnsi="Times New Roman"/>
          <w:i/>
          <w:sz w:val="22"/>
          <w:lang w:val="en-GB"/>
        </w:rPr>
      </w:pPr>
      <w:r w:rsidRPr="00A260ED">
        <w:rPr>
          <w:rFonts w:ascii="Times New Roman" w:eastAsia="MS Mincho" w:hAnsi="Times New Roman"/>
          <w:sz w:val="22"/>
          <w:lang w:val="en-GB"/>
        </w:rPr>
        <w:t>Prophylaxis and premedication for tumour lysis syndrome (TLS)</w:t>
      </w:r>
    </w:p>
    <w:p w14:paraId="45B673D2" w14:textId="4FC36B6A" w:rsidR="00B6112F" w:rsidRPr="00A260ED" w:rsidRDefault="00B6112F" w:rsidP="00EB2A24">
      <w:pPr>
        <w:pStyle w:val="J1"/>
        <w:rPr>
          <w:rFonts w:ascii="Times New Roman" w:eastAsia="MS Mincho" w:hAnsi="Times New Roman"/>
        </w:rPr>
      </w:pPr>
      <w:r w:rsidRPr="00A260ED">
        <w:rPr>
          <w:rFonts w:ascii="Times New Roman" w:eastAsia="MS Mincho" w:hAnsi="Times New Roman"/>
        </w:rPr>
        <w:t>Patients with a high tumour burden and/or a high circulating lymphocyte count (&gt;25</w:t>
      </w:r>
      <w:r w:rsidRPr="00A260ED">
        <w:rPr>
          <w:rFonts w:ascii="Times New Roman" w:hAnsi="Times New Roman"/>
        </w:rPr>
        <w:t> × </w:t>
      </w:r>
      <w:r w:rsidRPr="00A260ED">
        <w:rPr>
          <w:rFonts w:ascii="Times New Roman" w:eastAsia="MS Mincho" w:hAnsi="Times New Roman"/>
        </w:rPr>
        <w:t>10</w:t>
      </w:r>
      <w:r w:rsidRPr="00A260ED">
        <w:rPr>
          <w:rFonts w:ascii="Times New Roman" w:eastAsia="MS Mincho" w:hAnsi="Times New Roman"/>
          <w:vertAlign w:val="superscript"/>
        </w:rPr>
        <w:t>9</w:t>
      </w:r>
      <w:r w:rsidRPr="00A260ED">
        <w:rPr>
          <w:rFonts w:ascii="Times New Roman" w:eastAsia="MS Mincho" w:hAnsi="Times New Roman"/>
        </w:rPr>
        <w:t>/l) and/or renal impairment (CrCl &lt;70</w:t>
      </w:r>
      <w:r w:rsidRPr="00A260ED">
        <w:rPr>
          <w:rFonts w:ascii="Times New Roman" w:hAnsi="Times New Roman"/>
        </w:rPr>
        <w:t> </w:t>
      </w:r>
      <w:r w:rsidRPr="00A260ED">
        <w:rPr>
          <w:rFonts w:ascii="Times New Roman" w:eastAsia="MS Mincho" w:hAnsi="Times New Roman"/>
        </w:rPr>
        <w:t xml:space="preserve">ml/min) are considered at risk of TLS and should receive prophylaxis. Prophylaxis should be given according to institutional practice before the start of </w:t>
      </w:r>
      <w:r w:rsidR="007F720C">
        <w:rPr>
          <w:rFonts w:ascii="Times New Roman" w:eastAsia="MS Mincho" w:hAnsi="Times New Roman"/>
        </w:rPr>
        <w:t>Gazyvaro</w:t>
      </w:r>
      <w:r w:rsidRPr="00A260ED">
        <w:rPr>
          <w:rFonts w:ascii="Times New Roman" w:eastAsia="MS Mincho" w:hAnsi="Times New Roman"/>
        </w:rPr>
        <w:t xml:space="preserve"> infusion and consist of adequate hydration and administration of uricostatics (e.g. allopurinol) or a suitable alternative such as urate oxidase (e.g. rasburicase) (see </w:t>
      </w:r>
      <w:r w:rsidRPr="00A260ED">
        <w:rPr>
          <w:rFonts w:ascii="Times New Roman" w:hAnsi="Times New Roman"/>
        </w:rPr>
        <w:t>“</w:t>
      </w:r>
      <w:r w:rsidRPr="00A260ED">
        <w:rPr>
          <w:rFonts w:ascii="Times New Roman" w:eastAsia="MS Mincho" w:hAnsi="Times New Roman"/>
        </w:rPr>
        <w:t>Warnings and precautions</w:t>
      </w:r>
      <w:r w:rsidRPr="00A260ED">
        <w:rPr>
          <w:rFonts w:ascii="Times New Roman" w:hAnsi="Times New Roman"/>
        </w:rPr>
        <w:t>”).</w:t>
      </w:r>
      <w:r w:rsidRPr="00A260ED">
        <w:rPr>
          <w:rFonts w:ascii="Times New Roman" w:eastAsia="MS Mincho" w:hAnsi="Times New Roman"/>
        </w:rPr>
        <w:t xml:space="preserve"> Patients should also receive prophylaxis before each subsequent infusion, if deemed appropriate.</w:t>
      </w:r>
    </w:p>
    <w:p w14:paraId="03862858" w14:textId="77777777" w:rsidR="00B6112F" w:rsidRPr="00A260ED" w:rsidRDefault="00B6112F" w:rsidP="00EB2A24">
      <w:pPr>
        <w:pStyle w:val="Heading2"/>
        <w:numPr>
          <w:ilvl w:val="0"/>
          <w:numId w:val="0"/>
        </w:numPr>
        <w:ind w:left="1134" w:hanging="1134"/>
        <w:rPr>
          <w:rFonts w:ascii="Times New Roman" w:eastAsia="MS Mincho" w:hAnsi="Times New Roman"/>
          <w:i/>
          <w:sz w:val="22"/>
          <w:lang w:val="en-GB"/>
        </w:rPr>
      </w:pPr>
      <w:r w:rsidRPr="00A260ED">
        <w:rPr>
          <w:rFonts w:ascii="Times New Roman" w:eastAsia="MS Mincho" w:hAnsi="Times New Roman"/>
          <w:sz w:val="22"/>
          <w:lang w:val="en-GB"/>
        </w:rPr>
        <w:lastRenderedPageBreak/>
        <w:t>Prophylaxis and premedication for infusion reactions (IRRs)</w:t>
      </w:r>
    </w:p>
    <w:p w14:paraId="4CC65E68" w14:textId="775B8EE9"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To prevent infusion reactions, premedication with an analgesic/antipyretic (e.g. paracetamol) and an antihistamine (e.g. diphenhydramine) should be given 30 to 60 minutes before every </w:t>
      </w:r>
      <w:r w:rsidR="007F720C">
        <w:rPr>
          <w:rFonts w:ascii="Times New Roman" w:eastAsia="MS Mincho" w:hAnsi="Times New Roman"/>
        </w:rPr>
        <w:t>Gazyvaro</w:t>
      </w:r>
      <w:r w:rsidRPr="00A260ED">
        <w:rPr>
          <w:rFonts w:ascii="Times New Roman" w:eastAsia="MS Mincho" w:hAnsi="Times New Roman"/>
        </w:rPr>
        <w:t xml:space="preserve"> infusion.</w:t>
      </w:r>
    </w:p>
    <w:p w14:paraId="71209C96" w14:textId="77777777" w:rsidR="00B6112F" w:rsidRPr="00A260ED" w:rsidRDefault="00B6112F">
      <w:pPr>
        <w:pStyle w:val="J1"/>
        <w:rPr>
          <w:rFonts w:ascii="Times New Roman" w:hAnsi="Times New Roman"/>
        </w:rPr>
      </w:pPr>
      <w:r w:rsidRPr="00A260ED">
        <w:rPr>
          <w:rFonts w:ascii="Times New Roman" w:hAnsi="Times New Roman"/>
        </w:rPr>
        <w:t>Premedication with a corticosteroid is recommended before the first infusion in FL patients. Such premedication is mandatory in CLL patients.</w:t>
      </w:r>
    </w:p>
    <w:p w14:paraId="0B241A69" w14:textId="09B88030" w:rsidR="00B6112F" w:rsidRPr="00A260ED" w:rsidRDefault="00B6112F" w:rsidP="00EB2A24">
      <w:pPr>
        <w:pStyle w:val="J1"/>
        <w:rPr>
          <w:rFonts w:ascii="Times New Roman" w:eastAsia="MS Mincho" w:hAnsi="Times New Roman"/>
        </w:rPr>
      </w:pPr>
      <w:r w:rsidRPr="00A260ED">
        <w:rPr>
          <w:rFonts w:ascii="Times New Roman" w:eastAsia="MS Mincho" w:hAnsi="Times New Roman"/>
        </w:rPr>
        <w:t>Intravenous glucocorticoids (100</w:t>
      </w:r>
      <w:r w:rsidRPr="00A260ED">
        <w:rPr>
          <w:rFonts w:ascii="Times New Roman" w:hAnsi="Times New Roman"/>
        </w:rPr>
        <w:t xml:space="preserve"> </w:t>
      </w:r>
      <w:r w:rsidRPr="00A260ED">
        <w:rPr>
          <w:rFonts w:ascii="Times New Roman" w:eastAsia="MS Mincho" w:hAnsi="Times New Roman"/>
        </w:rPr>
        <w:t>mg prednisone/prednisolone or 20</w:t>
      </w:r>
      <w:r w:rsidRPr="00A260ED">
        <w:rPr>
          <w:rFonts w:ascii="Times New Roman" w:hAnsi="Times New Roman"/>
        </w:rPr>
        <w:t xml:space="preserve"> </w:t>
      </w:r>
      <w:r w:rsidRPr="00A260ED">
        <w:rPr>
          <w:rFonts w:ascii="Times New Roman" w:eastAsia="MS Mincho" w:hAnsi="Times New Roman"/>
        </w:rPr>
        <w:t>mg dexamethasone or 80</w:t>
      </w:r>
      <w:r w:rsidRPr="00A260ED">
        <w:rPr>
          <w:rFonts w:ascii="Times New Roman" w:hAnsi="Times New Roman"/>
        </w:rPr>
        <w:t xml:space="preserve"> </w:t>
      </w:r>
      <w:r w:rsidRPr="00A260ED">
        <w:rPr>
          <w:rFonts w:ascii="Times New Roman" w:eastAsia="MS Mincho" w:hAnsi="Times New Roman"/>
        </w:rPr>
        <w:t xml:space="preserve">mg methylprednisolone; hydrocortisone is not recommended in CLL as it has not been effective in reducing the rate of infusion reactions) should be given at least one hour before the start of the </w:t>
      </w:r>
      <w:r w:rsidR="007F720C">
        <w:rPr>
          <w:rFonts w:ascii="Times New Roman" w:eastAsia="MS Mincho" w:hAnsi="Times New Roman"/>
        </w:rPr>
        <w:t>Gazyvaro</w:t>
      </w:r>
      <w:r w:rsidRPr="00A260ED">
        <w:rPr>
          <w:rFonts w:ascii="Times New Roman" w:eastAsia="MS Mincho" w:hAnsi="Times New Roman"/>
        </w:rPr>
        <w:t xml:space="preserve"> infusion to all patients in the first cycle (CLL: days 1 and 2, FL: day</w:t>
      </w:r>
      <w:r w:rsidRPr="00A260ED">
        <w:rPr>
          <w:rFonts w:ascii="Times New Roman" w:hAnsi="Times New Roman"/>
        </w:rPr>
        <w:t> </w:t>
      </w:r>
      <w:r w:rsidRPr="00A260ED">
        <w:rPr>
          <w:rFonts w:ascii="Times New Roman" w:eastAsia="MS Mincho" w:hAnsi="Times New Roman"/>
        </w:rPr>
        <w:t>1) and, in subsequent cycles, to those who have experienced a grade</w:t>
      </w:r>
      <w:r w:rsidRPr="00A260ED">
        <w:rPr>
          <w:rFonts w:ascii="Times New Roman" w:hAnsi="Times New Roman"/>
        </w:rPr>
        <w:t xml:space="preserve"> </w:t>
      </w:r>
      <w:r w:rsidRPr="00A260ED">
        <w:rPr>
          <w:rFonts w:ascii="Times New Roman" w:eastAsia="MS Mincho" w:hAnsi="Times New Roman"/>
        </w:rPr>
        <w:t>3 infusion reaction during the previous infusion or with a lymphocyte count &gt;25 × 10</w:t>
      </w:r>
      <w:r w:rsidRPr="00A260ED">
        <w:rPr>
          <w:rFonts w:ascii="Times New Roman" w:eastAsia="MS Mincho" w:hAnsi="Times New Roman"/>
          <w:vertAlign w:val="superscript"/>
        </w:rPr>
        <w:t>9</w:t>
      </w:r>
      <w:r w:rsidRPr="00A260ED">
        <w:rPr>
          <w:rFonts w:ascii="Times New Roman" w:eastAsia="MS Mincho" w:hAnsi="Times New Roman"/>
        </w:rPr>
        <w:t xml:space="preserve">/l prior to the next treatment. If corticosteroid-containing chemotherapy is administered on the same day as </w:t>
      </w:r>
      <w:r w:rsidR="007F720C">
        <w:rPr>
          <w:rFonts w:ascii="Times New Roman" w:eastAsia="MS Mincho" w:hAnsi="Times New Roman"/>
        </w:rPr>
        <w:t>Gazyvaro</w:t>
      </w:r>
      <w:r w:rsidRPr="00A260ED">
        <w:rPr>
          <w:rFonts w:ascii="Times New Roman" w:eastAsia="MS Mincho" w:hAnsi="Times New Roman"/>
        </w:rPr>
        <w:t xml:space="preserve">, the corticosteroid may be administered orally if given at least 60 minutes before </w:t>
      </w:r>
      <w:r w:rsidR="007F720C">
        <w:rPr>
          <w:rFonts w:ascii="Times New Roman" w:eastAsia="MS Mincho" w:hAnsi="Times New Roman"/>
        </w:rPr>
        <w:t>Gazyvaro</w:t>
      </w:r>
      <w:r w:rsidRPr="00A260ED">
        <w:rPr>
          <w:rFonts w:ascii="Times New Roman" w:eastAsia="MS Mincho" w:hAnsi="Times New Roman"/>
        </w:rPr>
        <w:t>. In the event of oral corticosteroid administration, additional premedication with an intravenous corticosteroid is not required.</w:t>
      </w:r>
    </w:p>
    <w:p w14:paraId="0315E1A0" w14:textId="1D634AA5"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Hypotension may occur as a feature of infusion reactions during </w:t>
      </w:r>
      <w:r w:rsidR="007F720C">
        <w:rPr>
          <w:rFonts w:ascii="Times New Roman" w:eastAsia="MS Mincho" w:hAnsi="Times New Roman"/>
        </w:rPr>
        <w:t>Gazyvaro</w:t>
      </w:r>
      <w:r w:rsidRPr="00A260ED">
        <w:rPr>
          <w:rFonts w:ascii="Times New Roman" w:eastAsia="MS Mincho" w:hAnsi="Times New Roman"/>
        </w:rPr>
        <w:t xml:space="preserve"> intravenous infusions. Therefore, interruption of antihypertensive treatments should be considered for 12 hours before, during and for the first hour after each </w:t>
      </w:r>
      <w:r w:rsidR="007F720C">
        <w:rPr>
          <w:rFonts w:ascii="Times New Roman" w:eastAsia="MS Mincho" w:hAnsi="Times New Roman"/>
        </w:rPr>
        <w:t>Gazyvaro</w:t>
      </w:r>
      <w:r w:rsidRPr="00A260ED">
        <w:rPr>
          <w:rFonts w:ascii="Times New Roman" w:eastAsia="MS Mincho" w:hAnsi="Times New Roman"/>
        </w:rPr>
        <w:t xml:space="preserve"> infusion.</w:t>
      </w:r>
    </w:p>
    <w:p w14:paraId="797D626E" w14:textId="77777777" w:rsidR="00B6112F" w:rsidRPr="00A260ED" w:rsidRDefault="00B6112F" w:rsidP="00EB2A24">
      <w:pPr>
        <w:pStyle w:val="Heading6"/>
        <w:numPr>
          <w:ilvl w:val="0"/>
          <w:numId w:val="0"/>
        </w:numPr>
        <w:ind w:left="1701" w:hanging="1701"/>
        <w:rPr>
          <w:rFonts w:ascii="Times New Roman" w:eastAsia="MS Mincho" w:hAnsi="Times New Roman"/>
          <w:sz w:val="22"/>
          <w:lang w:val="en-GB"/>
        </w:rPr>
      </w:pPr>
      <w:r w:rsidRPr="00A260ED">
        <w:rPr>
          <w:rFonts w:ascii="Times New Roman" w:eastAsia="MS Mincho" w:hAnsi="Times New Roman"/>
          <w:sz w:val="22"/>
          <w:lang w:val="en-GB"/>
        </w:rPr>
        <w:t xml:space="preserve">Chronic lymphocytic </w:t>
      </w:r>
      <w:r w:rsidRPr="00A260ED">
        <w:rPr>
          <w:rFonts w:ascii="Times New Roman" w:hAnsi="Times New Roman"/>
          <w:sz w:val="22"/>
        </w:rPr>
        <w:t>leukaemia</w:t>
      </w:r>
    </w:p>
    <w:p w14:paraId="5A3615B7" w14:textId="1C2CF10A" w:rsidR="00B6112F" w:rsidRPr="00A260ED" w:rsidRDefault="007F720C" w:rsidP="00EB2A24">
      <w:pPr>
        <w:pStyle w:val="J1"/>
        <w:rPr>
          <w:rFonts w:ascii="Times New Roman" w:eastAsia="MS Mincho" w:hAnsi="Times New Roman"/>
        </w:rPr>
      </w:pPr>
      <w:r>
        <w:rPr>
          <w:rFonts w:ascii="Times New Roman" w:eastAsia="MS Mincho" w:hAnsi="Times New Roman"/>
        </w:rPr>
        <w:t>Gazyvaro</w:t>
      </w:r>
      <w:r w:rsidR="00B6112F" w:rsidRPr="00A260ED">
        <w:rPr>
          <w:rFonts w:ascii="Times New Roman" w:eastAsia="MS Mincho" w:hAnsi="Times New Roman"/>
        </w:rPr>
        <w:t xml:space="preserve"> is administered as an intravenous infusion through a dedicated line and must not be given as an intravenous push or bolus infusion. Isotonic 0.9% sodium chloride solution should be used to prepare the infusion solution. At the start of treatment (first infusion) the total dose should be distributed to two infusion bags (bag</w:t>
      </w:r>
      <w:r w:rsidR="00B6112F" w:rsidRPr="00A260ED">
        <w:rPr>
          <w:rFonts w:ascii="Times New Roman" w:hAnsi="Times New Roman"/>
        </w:rPr>
        <w:t> </w:t>
      </w:r>
      <w:r w:rsidR="00B6112F" w:rsidRPr="00A260ED">
        <w:rPr>
          <w:rFonts w:ascii="Times New Roman" w:eastAsia="MS Mincho" w:hAnsi="Times New Roman"/>
        </w:rPr>
        <w:t>1 with 100 mg and bag</w:t>
      </w:r>
      <w:r w:rsidR="00B6112F" w:rsidRPr="00A260ED">
        <w:rPr>
          <w:rFonts w:ascii="Times New Roman" w:hAnsi="Times New Roman"/>
        </w:rPr>
        <w:t> </w:t>
      </w:r>
      <w:r w:rsidR="00B6112F" w:rsidRPr="00A260ED">
        <w:rPr>
          <w:rFonts w:ascii="Times New Roman" w:eastAsia="MS Mincho" w:hAnsi="Times New Roman"/>
        </w:rPr>
        <w:t xml:space="preserve">2 with 900 mg) (see </w:t>
      </w:r>
      <w:r w:rsidR="00B6112F" w:rsidRPr="00A260ED">
        <w:rPr>
          <w:rFonts w:ascii="Times New Roman" w:hAnsi="Times New Roman"/>
        </w:rPr>
        <w:t>“Other</w:t>
      </w:r>
      <w:r w:rsidR="00B6112F" w:rsidRPr="00A260ED">
        <w:rPr>
          <w:rFonts w:ascii="Times New Roman" w:eastAsia="MS Mincho" w:hAnsi="Times New Roman"/>
        </w:rPr>
        <w:t xml:space="preserve"> information, Instructions for handling and disposal</w:t>
      </w:r>
      <w:r w:rsidR="00B6112F" w:rsidRPr="00A260ED">
        <w:rPr>
          <w:rFonts w:ascii="Times New Roman" w:hAnsi="Times New Roman"/>
        </w:rPr>
        <w:t>”).</w:t>
      </w:r>
    </w:p>
    <w:p w14:paraId="67EBF2B5"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rPr>
        <w:t>The recommended dosage of obinutuzumab is 1000</w:t>
      </w:r>
      <w:r w:rsidRPr="00A260ED">
        <w:rPr>
          <w:rFonts w:ascii="Times New Roman" w:hAnsi="Times New Roman"/>
        </w:rPr>
        <w:t xml:space="preserve"> </w:t>
      </w:r>
      <w:r w:rsidRPr="00A260ED">
        <w:rPr>
          <w:rFonts w:ascii="Times New Roman" w:eastAsia="MS Mincho" w:hAnsi="Times New Roman"/>
        </w:rPr>
        <w:t>mg administered 3 times in the first cycle and once in each of cycles 2</w:t>
      </w:r>
      <w:r w:rsidRPr="00A260ED">
        <w:rPr>
          <w:rFonts w:ascii="Times New Roman" w:hAnsi="Times New Roman"/>
        </w:rPr>
        <w:t>-</w:t>
      </w:r>
      <w:r w:rsidRPr="00A260ED">
        <w:rPr>
          <w:rFonts w:ascii="Times New Roman" w:eastAsia="MS Mincho" w:hAnsi="Times New Roman"/>
        </w:rPr>
        <w:t>6 (28-day cycles).</w:t>
      </w:r>
    </w:p>
    <w:p w14:paraId="61CAF2CD"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rPr>
        <w:t>First infusion: The first infusion is administered at a rate of 25 mg/h over 4 hours (bag 1 with 100 mg obinutuzumab). If no infusion reactions (IRRs) have occurred, the second bag (bag</w:t>
      </w:r>
      <w:r w:rsidRPr="00A260ED">
        <w:rPr>
          <w:rFonts w:ascii="Times New Roman" w:hAnsi="Times New Roman"/>
        </w:rPr>
        <w:t> </w:t>
      </w:r>
      <w:r w:rsidRPr="00A260ED">
        <w:rPr>
          <w:rFonts w:ascii="Times New Roman" w:eastAsia="MS Mincho" w:hAnsi="Times New Roman"/>
        </w:rPr>
        <w:t>2 with 900 mg obinutuzumab) can be infused immediately afterwards, starting at a rate of 50</w:t>
      </w:r>
      <w:r w:rsidRPr="00A260ED">
        <w:rPr>
          <w:rFonts w:ascii="Times New Roman" w:hAnsi="Times New Roman"/>
        </w:rPr>
        <w:t xml:space="preserve"> </w:t>
      </w:r>
      <w:r w:rsidRPr="00A260ED">
        <w:rPr>
          <w:rFonts w:ascii="Times New Roman" w:eastAsia="MS Mincho" w:hAnsi="Times New Roman"/>
        </w:rPr>
        <w:t>mg/h, provided that sufficient time, appropriate conditions and medical supervision are available during the infusion. After the first 30 minutes the infusion rate can be escalated in increments of 50</w:t>
      </w:r>
      <w:r w:rsidRPr="00A260ED">
        <w:rPr>
          <w:rFonts w:ascii="Times New Roman" w:hAnsi="Times New Roman"/>
        </w:rPr>
        <w:t xml:space="preserve"> </w:t>
      </w:r>
      <w:r w:rsidRPr="00A260ED">
        <w:rPr>
          <w:rFonts w:ascii="Times New Roman" w:eastAsia="MS Mincho" w:hAnsi="Times New Roman"/>
        </w:rPr>
        <w:t>mg/h every 30 minutes to a maximum of 400</w:t>
      </w:r>
      <w:r w:rsidRPr="00A260ED">
        <w:rPr>
          <w:rFonts w:ascii="Times New Roman" w:hAnsi="Times New Roman"/>
        </w:rPr>
        <w:t xml:space="preserve"> </w:t>
      </w:r>
      <w:r w:rsidRPr="00A260ED">
        <w:rPr>
          <w:rFonts w:ascii="Times New Roman" w:eastAsia="MS Mincho" w:hAnsi="Times New Roman"/>
        </w:rPr>
        <w:t>mg/h. If an infusion reaction has occurred during the first 100</w:t>
      </w:r>
      <w:r w:rsidRPr="00A260ED">
        <w:rPr>
          <w:rFonts w:ascii="Times New Roman" w:hAnsi="Times New Roman"/>
        </w:rPr>
        <w:t xml:space="preserve"> </w:t>
      </w:r>
      <w:r w:rsidRPr="00A260ED">
        <w:rPr>
          <w:rFonts w:ascii="Times New Roman" w:eastAsia="MS Mincho" w:hAnsi="Times New Roman"/>
        </w:rPr>
        <w:t>mg obinutuzumab (see Table 1 for procedure), the second bag must be administered the following day. If the patient has experienced an IRR during the previous infusion, administration is started at a rate of 25 mg/h. After the first 30 minutes the infusion rate can be escalated in increments of 50</w:t>
      </w:r>
      <w:r w:rsidRPr="00A260ED">
        <w:rPr>
          <w:rFonts w:ascii="Times New Roman" w:hAnsi="Times New Roman"/>
        </w:rPr>
        <w:t xml:space="preserve"> </w:t>
      </w:r>
      <w:r w:rsidRPr="00A260ED">
        <w:rPr>
          <w:rFonts w:ascii="Times New Roman" w:eastAsia="MS Mincho" w:hAnsi="Times New Roman"/>
        </w:rPr>
        <w:t>mg/h every 30 minutes to a maximum of 400 mg/h. Patients developing respiratory symptoms or hypotension should be monitored for 24</w:t>
      </w:r>
      <w:r w:rsidRPr="00A260ED">
        <w:rPr>
          <w:rFonts w:ascii="Times New Roman" w:hAnsi="Times New Roman"/>
        </w:rPr>
        <w:t> </w:t>
      </w:r>
      <w:r w:rsidRPr="00A260ED">
        <w:rPr>
          <w:rFonts w:ascii="Times New Roman" w:eastAsia="MS Mincho" w:hAnsi="Times New Roman"/>
        </w:rPr>
        <w:t>hours.</w:t>
      </w:r>
    </w:p>
    <w:p w14:paraId="41D195A3"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rPr>
        <w:t>Subsequent infusions (cycle 1 days 8 and 15 and cycles 2</w:t>
      </w:r>
      <w:r w:rsidRPr="00A260ED">
        <w:rPr>
          <w:rFonts w:ascii="Times New Roman" w:hAnsi="Times New Roman"/>
        </w:rPr>
        <w:t>-</w:t>
      </w:r>
      <w:r w:rsidRPr="00A260ED">
        <w:rPr>
          <w:rFonts w:ascii="Times New Roman" w:eastAsia="MS Mincho" w:hAnsi="Times New Roman"/>
        </w:rPr>
        <w:t>6): If no IRRs have occurred during the previous infusion at a final infusion rate of ≥100 mg/h, subsequent infusions can be started at a rate of 100</w:t>
      </w:r>
      <w:r w:rsidRPr="00A260ED">
        <w:rPr>
          <w:rFonts w:ascii="Times New Roman" w:hAnsi="Times New Roman"/>
        </w:rPr>
        <w:t xml:space="preserve"> </w:t>
      </w:r>
      <w:r w:rsidRPr="00A260ED">
        <w:rPr>
          <w:rFonts w:ascii="Times New Roman" w:eastAsia="MS Mincho" w:hAnsi="Times New Roman"/>
        </w:rPr>
        <w:t>mg/h and increased after the first 30 minutes by 100 mg/h increments every 30 minutes to a maximum of 400</w:t>
      </w:r>
      <w:r w:rsidRPr="00A260ED">
        <w:rPr>
          <w:rFonts w:ascii="Times New Roman" w:hAnsi="Times New Roman"/>
        </w:rPr>
        <w:t xml:space="preserve"> </w:t>
      </w:r>
      <w:r w:rsidRPr="00A260ED">
        <w:rPr>
          <w:rFonts w:ascii="Times New Roman" w:eastAsia="MS Mincho" w:hAnsi="Times New Roman"/>
        </w:rPr>
        <w:t>mg/h. If the patient has experienced an IRR during the previous infusion, start at a rate of 50 mg/h. After 30 minutes the infusion rate can be escalated in increments of 50 mg/h every 30 minutes to a maximum of 400 mg/h.</w:t>
      </w:r>
    </w:p>
    <w:p w14:paraId="20666F06" w14:textId="77777777" w:rsidR="00B6112F" w:rsidRPr="00A260ED" w:rsidRDefault="00B6112F" w:rsidP="00EB2A24">
      <w:pPr>
        <w:pStyle w:val="Heading6"/>
        <w:numPr>
          <w:ilvl w:val="0"/>
          <w:numId w:val="0"/>
        </w:numPr>
        <w:ind w:left="1701" w:hanging="1701"/>
        <w:rPr>
          <w:rFonts w:ascii="Times New Roman" w:eastAsia="MS Mincho" w:hAnsi="Times New Roman"/>
          <w:sz w:val="22"/>
          <w:lang w:val="en-GB"/>
        </w:rPr>
      </w:pPr>
      <w:r w:rsidRPr="00A260ED">
        <w:rPr>
          <w:rFonts w:ascii="Times New Roman" w:eastAsia="MS Mincho" w:hAnsi="Times New Roman"/>
          <w:sz w:val="22"/>
          <w:lang w:val="en-GB"/>
        </w:rPr>
        <w:t>Follicular lymphoma</w:t>
      </w:r>
    </w:p>
    <w:p w14:paraId="14BE06BC" w14:textId="265DEB38" w:rsidR="00DF0220" w:rsidRPr="00A260ED" w:rsidRDefault="007F720C" w:rsidP="00EB2A24">
      <w:pPr>
        <w:pStyle w:val="J1"/>
        <w:rPr>
          <w:rFonts w:ascii="Times New Roman" w:eastAsia="MS Mincho" w:hAnsi="Times New Roman"/>
        </w:rPr>
      </w:pPr>
      <w:r>
        <w:rPr>
          <w:rFonts w:ascii="Times New Roman" w:eastAsia="MS Mincho" w:hAnsi="Times New Roman"/>
        </w:rPr>
        <w:t>Gazyvaro</w:t>
      </w:r>
      <w:r w:rsidR="00B6112F" w:rsidRPr="00A260ED">
        <w:rPr>
          <w:rFonts w:ascii="Times New Roman" w:eastAsia="MS Mincho" w:hAnsi="Times New Roman"/>
        </w:rPr>
        <w:t xml:space="preserve"> is administered as an intravenous infusion through a dedicated line and must not be given as an intravenous push or bolus infusion. Isotonic 0.9% sodium chloride solution should be used to prepare the infusion solution.</w:t>
      </w:r>
    </w:p>
    <w:p w14:paraId="59150DB2" w14:textId="77777777" w:rsidR="00B6112F" w:rsidRPr="00A260ED" w:rsidRDefault="00B6112F" w:rsidP="00DF0220">
      <w:pPr>
        <w:pStyle w:val="J1"/>
        <w:rPr>
          <w:rFonts w:ascii="Times New Roman" w:eastAsia="MS Mincho" w:hAnsi="Times New Roman"/>
        </w:rPr>
      </w:pPr>
      <w:r w:rsidRPr="00A260ED">
        <w:rPr>
          <w:rFonts w:ascii="Times New Roman" w:eastAsia="MS Mincho" w:hAnsi="Times New Roman"/>
          <w:b/>
          <w:i/>
        </w:rPr>
        <w:t>Previously untreated follicular lymphoma</w:t>
      </w:r>
    </w:p>
    <w:p w14:paraId="17BB56BC" w14:textId="77777777" w:rsidR="00B6112F" w:rsidRPr="00A260ED" w:rsidRDefault="00B6112F" w:rsidP="00EB2A24">
      <w:pPr>
        <w:pStyle w:val="Heading3a"/>
        <w:rPr>
          <w:rFonts w:ascii="Times New Roman" w:hAnsi="Times New Roman"/>
        </w:rPr>
      </w:pPr>
      <w:r w:rsidRPr="00A260ED">
        <w:rPr>
          <w:rFonts w:ascii="Times New Roman" w:hAnsi="Times New Roman"/>
        </w:rPr>
        <w:lastRenderedPageBreak/>
        <w:t>Induction therapy</w:t>
      </w:r>
    </w:p>
    <w:p w14:paraId="08FB2173" w14:textId="77777777" w:rsidR="00B6112F" w:rsidRPr="00A260ED" w:rsidRDefault="00B6112F">
      <w:pPr>
        <w:pStyle w:val="J1"/>
        <w:rPr>
          <w:rFonts w:ascii="Times New Roman" w:hAnsi="Times New Roman"/>
        </w:rPr>
      </w:pPr>
      <w:r w:rsidRPr="00A260ED">
        <w:rPr>
          <w:rFonts w:ascii="Times New Roman" w:hAnsi="Times New Roman"/>
        </w:rPr>
        <w:t>The recommended dosage of obinutuzumab in combination with chemotherapy is 1000 mg (administered 3 times in the first cycle, days 1, 8 and 15):</w:t>
      </w:r>
    </w:p>
    <w:p w14:paraId="253EE044" w14:textId="77777777" w:rsidR="00B6112F" w:rsidRPr="00A260ED" w:rsidRDefault="00B6112F" w:rsidP="00B6112F">
      <w:pPr>
        <w:pStyle w:val="J1"/>
        <w:numPr>
          <w:ilvl w:val="0"/>
          <w:numId w:val="4"/>
        </w:numPr>
        <w:rPr>
          <w:rFonts w:ascii="Times New Roman" w:hAnsi="Times New Roman"/>
        </w:rPr>
      </w:pPr>
      <w:r w:rsidRPr="00A260ED">
        <w:rPr>
          <w:rFonts w:ascii="Times New Roman" w:hAnsi="Times New Roman"/>
        </w:rPr>
        <w:t>and once on day 1 in each of cycles 2</w:t>
      </w:r>
      <w:r w:rsidRPr="00A260ED">
        <w:rPr>
          <w:rFonts w:ascii="Times New Roman" w:hAnsi="Times New Roman"/>
        </w:rPr>
        <w:noBreakHyphen/>
        <w:t>6 (28-day cycles) in combination with bendamustine</w:t>
      </w:r>
    </w:p>
    <w:p w14:paraId="782E5FF9" w14:textId="5F201797" w:rsidR="00DF0220" w:rsidRPr="00A260ED" w:rsidRDefault="00B6112F" w:rsidP="00F3691F">
      <w:pPr>
        <w:pStyle w:val="J1"/>
        <w:numPr>
          <w:ilvl w:val="0"/>
          <w:numId w:val="4"/>
        </w:numPr>
        <w:rPr>
          <w:rFonts w:ascii="Times New Roman" w:hAnsi="Times New Roman"/>
        </w:rPr>
      </w:pPr>
      <w:proofErr w:type="gramStart"/>
      <w:r w:rsidRPr="00A260ED">
        <w:rPr>
          <w:rFonts w:ascii="Times New Roman" w:hAnsi="Times New Roman"/>
        </w:rPr>
        <w:t>or</w:t>
      </w:r>
      <w:proofErr w:type="gramEnd"/>
      <w:r w:rsidRPr="00A260ED">
        <w:rPr>
          <w:rFonts w:ascii="Times New Roman" w:hAnsi="Times New Roman"/>
        </w:rPr>
        <w:t xml:space="preserve"> once on day 1 in each of cycles 2</w:t>
      </w:r>
      <w:r w:rsidRPr="00A260ED">
        <w:rPr>
          <w:rFonts w:ascii="Times New Roman" w:hAnsi="Times New Roman"/>
        </w:rPr>
        <w:noBreakHyphen/>
        <w:t xml:space="preserve">6 (21-day cycles) in combination with CHOP, followed by 2 additional cycles of </w:t>
      </w:r>
      <w:r w:rsidR="007F720C">
        <w:rPr>
          <w:rFonts w:ascii="Times New Roman" w:hAnsi="Times New Roman"/>
        </w:rPr>
        <w:t>Gazyvaro</w:t>
      </w:r>
      <w:r w:rsidRPr="00A260ED">
        <w:rPr>
          <w:rFonts w:ascii="Times New Roman" w:hAnsi="Times New Roman"/>
        </w:rPr>
        <w:t xml:space="preserve"> alone</w:t>
      </w:r>
      <w:r w:rsidR="00DF0220" w:rsidRPr="00A260ED">
        <w:rPr>
          <w:rFonts w:ascii="Times New Roman" w:hAnsi="Times New Roman"/>
        </w:rPr>
        <w:t xml:space="preserve"> </w:t>
      </w:r>
      <w:r w:rsidRPr="00A260ED">
        <w:rPr>
          <w:rFonts w:ascii="Times New Roman" w:hAnsi="Times New Roman"/>
        </w:rPr>
        <w:t>or once on day 1 in each of cycles 2</w:t>
      </w:r>
      <w:r w:rsidRPr="00A260ED">
        <w:rPr>
          <w:rFonts w:ascii="Times New Roman" w:hAnsi="Times New Roman"/>
        </w:rPr>
        <w:noBreakHyphen/>
        <w:t>8 (21-day cycles) in combination with CVP.</w:t>
      </w:r>
    </w:p>
    <w:p w14:paraId="2624DA68" w14:textId="77777777" w:rsidR="00B6112F" w:rsidRPr="00A260ED" w:rsidRDefault="00B6112F" w:rsidP="00DF0220">
      <w:pPr>
        <w:pStyle w:val="J1"/>
        <w:rPr>
          <w:rFonts w:ascii="Times New Roman" w:hAnsi="Times New Roman"/>
        </w:rPr>
      </w:pPr>
      <w:r w:rsidRPr="00A260ED">
        <w:rPr>
          <w:rFonts w:ascii="Times New Roman" w:hAnsi="Times New Roman"/>
        </w:rPr>
        <w:t>Maintenance therapy</w:t>
      </w:r>
    </w:p>
    <w:p w14:paraId="6EDB8080" w14:textId="2D7EB984" w:rsidR="00DF0220" w:rsidRPr="00A260ED" w:rsidRDefault="00B6112F" w:rsidP="00F3691F">
      <w:pPr>
        <w:pStyle w:val="J1"/>
        <w:rPr>
          <w:rFonts w:ascii="Times New Roman" w:hAnsi="Times New Roman"/>
        </w:rPr>
      </w:pPr>
      <w:r w:rsidRPr="00A260ED">
        <w:rPr>
          <w:rFonts w:ascii="Times New Roman" w:hAnsi="Times New Roman"/>
        </w:rPr>
        <w:t>Previously untreated patients with complete or partial response to induction therapy (</w:t>
      </w:r>
      <w:r w:rsidR="007F720C">
        <w:rPr>
          <w:rFonts w:ascii="Times New Roman" w:hAnsi="Times New Roman"/>
        </w:rPr>
        <w:t>Gazyvaro</w:t>
      </w:r>
      <w:r w:rsidRPr="00A260ED">
        <w:rPr>
          <w:rFonts w:ascii="Times New Roman" w:hAnsi="Times New Roman"/>
        </w:rPr>
        <w:t xml:space="preserve"> plus chemotherapy) should continue on maintenance therapy with </w:t>
      </w:r>
      <w:r w:rsidR="007F720C">
        <w:rPr>
          <w:rFonts w:ascii="Times New Roman" w:hAnsi="Times New Roman"/>
        </w:rPr>
        <w:t>Gazyvaro</w:t>
      </w:r>
      <w:r w:rsidRPr="00A260ED">
        <w:rPr>
          <w:rFonts w:ascii="Times New Roman" w:hAnsi="Times New Roman"/>
        </w:rPr>
        <w:t xml:space="preserve"> (1000 mg obinutuzumab once every 2 months) until disease pr</w:t>
      </w:r>
      <w:r w:rsidR="00F3691F" w:rsidRPr="00A260ED">
        <w:rPr>
          <w:rFonts w:ascii="Times New Roman" w:hAnsi="Times New Roman"/>
        </w:rPr>
        <w:t>ogression or for up to 2 years.</w:t>
      </w:r>
    </w:p>
    <w:p w14:paraId="75DD9B98" w14:textId="77777777" w:rsidR="00B6112F" w:rsidRPr="00A260ED" w:rsidRDefault="00B6112F" w:rsidP="00DF0220">
      <w:pPr>
        <w:pStyle w:val="Heading3"/>
        <w:numPr>
          <w:ilvl w:val="0"/>
          <w:numId w:val="0"/>
        </w:numPr>
        <w:ind w:left="1134" w:hanging="1134"/>
        <w:rPr>
          <w:rFonts w:ascii="Times New Roman" w:eastAsia="MS Mincho" w:hAnsi="Times New Roman"/>
          <w:sz w:val="22"/>
        </w:rPr>
      </w:pPr>
      <w:r w:rsidRPr="00A260ED">
        <w:rPr>
          <w:rFonts w:ascii="Times New Roman" w:eastAsia="MS Gothic" w:hAnsi="Times New Roman"/>
          <w:i/>
          <w:sz w:val="22"/>
        </w:rPr>
        <w:t>Relapsed/refractory follicular lymphoma</w:t>
      </w:r>
    </w:p>
    <w:p w14:paraId="51A7020A" w14:textId="57F003E8" w:rsidR="00B6112F" w:rsidRPr="00A260ED" w:rsidRDefault="00B6112F">
      <w:pPr>
        <w:pStyle w:val="J1"/>
        <w:rPr>
          <w:rFonts w:ascii="Times New Roman" w:hAnsi="Times New Roman"/>
        </w:rPr>
      </w:pPr>
      <w:r w:rsidRPr="00A260ED">
        <w:rPr>
          <w:rFonts w:ascii="Times New Roman" w:hAnsi="Times New Roman"/>
        </w:rPr>
        <w:t xml:space="preserve">In patients with follicular lymphoma who have relapsed after or who have failed to respond to treatment with rituximab or a rituximab-containing regimen, </w:t>
      </w:r>
      <w:r w:rsidR="007F720C">
        <w:rPr>
          <w:rFonts w:ascii="Times New Roman" w:hAnsi="Times New Roman"/>
        </w:rPr>
        <w:t>Gazyvaro</w:t>
      </w:r>
      <w:r w:rsidRPr="00A260ED">
        <w:rPr>
          <w:rFonts w:ascii="Times New Roman" w:hAnsi="Times New Roman"/>
        </w:rPr>
        <w:t xml:space="preserve"> should be administered in six 28-day cycles in combination with bendamustine. Relapsed/refractory patients who achieve complete or partial response or stable disease should continue on maintenance therapy of 1000 mg </w:t>
      </w:r>
      <w:r w:rsidR="007F720C">
        <w:rPr>
          <w:rFonts w:ascii="Times New Roman" w:hAnsi="Times New Roman"/>
        </w:rPr>
        <w:t>Gazyvaro</w:t>
      </w:r>
      <w:r w:rsidRPr="00A260ED">
        <w:rPr>
          <w:rFonts w:ascii="Times New Roman" w:hAnsi="Times New Roman"/>
        </w:rPr>
        <w:t xml:space="preserve"> once every 2 months until disease progression or for up to 2 years.</w:t>
      </w:r>
    </w:p>
    <w:p w14:paraId="0F062229"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rPr>
        <w:t>The recommended dosage of obinutuzumab is 1000 mg administered 3 times in the first cycle, days 1, 8 and 15, and once in each of cycles 2-6 (28-day cycles), followed by administration every 2</w:t>
      </w:r>
      <w:r w:rsidRPr="00A260ED">
        <w:rPr>
          <w:rFonts w:ascii="Times New Roman" w:hAnsi="Times New Roman"/>
        </w:rPr>
        <w:t> </w:t>
      </w:r>
      <w:r w:rsidRPr="00A260ED">
        <w:rPr>
          <w:rFonts w:ascii="Times New Roman" w:eastAsia="MS Mincho" w:hAnsi="Times New Roman"/>
        </w:rPr>
        <w:t>months (infusion of 1000</w:t>
      </w:r>
      <w:r w:rsidRPr="00A260ED">
        <w:rPr>
          <w:rFonts w:ascii="Times New Roman" w:hAnsi="Times New Roman"/>
        </w:rPr>
        <w:t> </w:t>
      </w:r>
      <w:r w:rsidRPr="00A260ED">
        <w:rPr>
          <w:rFonts w:ascii="Times New Roman" w:eastAsia="MS Mincho" w:hAnsi="Times New Roman"/>
        </w:rPr>
        <w:t>mg obinutuzumab on each occasion) until disease progression or for up to two years.</w:t>
      </w:r>
    </w:p>
    <w:p w14:paraId="79594147"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rPr>
        <w:t>The recommended dosage of bendamustine in combination with obinutuzumab is 90 mg/m</w:t>
      </w:r>
      <w:r w:rsidRPr="00A260ED">
        <w:rPr>
          <w:rFonts w:ascii="Times New Roman" w:eastAsia="MS Mincho" w:hAnsi="Times New Roman"/>
          <w:vertAlign w:val="superscript"/>
        </w:rPr>
        <w:t>2</w:t>
      </w:r>
      <w:r w:rsidRPr="00A260ED">
        <w:rPr>
          <w:rFonts w:ascii="Times New Roman" w:eastAsia="MS Mincho" w:hAnsi="Times New Roman"/>
        </w:rPr>
        <w:t>, administered intravenously on days 1 and 2 in each of cycles 1-6 (28-day cycles).</w:t>
      </w:r>
    </w:p>
    <w:p w14:paraId="702A3E72" w14:textId="77777777" w:rsidR="00B6112F" w:rsidRPr="00A260ED" w:rsidRDefault="00B6112F" w:rsidP="00EB2A24">
      <w:pPr>
        <w:pStyle w:val="Heading6"/>
        <w:numPr>
          <w:ilvl w:val="0"/>
          <w:numId w:val="0"/>
        </w:numPr>
        <w:ind w:left="1701" w:hanging="1701"/>
        <w:rPr>
          <w:rFonts w:ascii="Times New Roman" w:eastAsia="MS Mincho" w:hAnsi="Times New Roman"/>
          <w:sz w:val="22"/>
          <w:lang w:val="en-GB"/>
        </w:rPr>
      </w:pPr>
      <w:r w:rsidRPr="00A260ED">
        <w:rPr>
          <w:rFonts w:ascii="Times New Roman" w:eastAsia="MS Mincho" w:hAnsi="Times New Roman"/>
          <w:sz w:val="22"/>
          <w:lang w:val="en-GB"/>
        </w:rPr>
        <w:t>All patients with follicular lymphoma</w:t>
      </w:r>
    </w:p>
    <w:p w14:paraId="1FAA8CC8"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rPr>
        <w:t>First infusion (cycle</w:t>
      </w:r>
      <w:r w:rsidRPr="00A260ED">
        <w:rPr>
          <w:rFonts w:ascii="Times New Roman" w:hAnsi="Times New Roman"/>
        </w:rPr>
        <w:t> </w:t>
      </w:r>
      <w:r w:rsidRPr="00A260ED">
        <w:rPr>
          <w:rFonts w:ascii="Times New Roman" w:eastAsia="MS Mincho" w:hAnsi="Times New Roman"/>
        </w:rPr>
        <w:t>1 day</w:t>
      </w:r>
      <w:r w:rsidRPr="00A260ED">
        <w:rPr>
          <w:rFonts w:ascii="Times New Roman" w:hAnsi="Times New Roman"/>
        </w:rPr>
        <w:t> </w:t>
      </w:r>
      <w:r w:rsidRPr="00A260ED">
        <w:rPr>
          <w:rFonts w:ascii="Times New Roman" w:eastAsia="MS Mincho" w:hAnsi="Times New Roman"/>
        </w:rPr>
        <w:t>1): The first infusion (1000 mg obinutuzumab) is started at a rate of 50</w:t>
      </w:r>
      <w:r w:rsidRPr="00A260ED">
        <w:rPr>
          <w:rFonts w:ascii="Times New Roman" w:hAnsi="Times New Roman"/>
        </w:rPr>
        <w:t> </w:t>
      </w:r>
      <w:r w:rsidRPr="00A260ED">
        <w:rPr>
          <w:rFonts w:ascii="Times New Roman" w:eastAsia="MS Mincho" w:hAnsi="Times New Roman"/>
        </w:rPr>
        <w:t>mg/h. After the first 30 minutes the infusion rate can be escalated in increments of 50 mg/h every 30 minutes to a maximum of 400 mg/h. Patients developing respiratory symptoms or hypotension should be monitored for 24</w:t>
      </w:r>
      <w:r w:rsidRPr="00A260ED">
        <w:rPr>
          <w:rFonts w:ascii="Times New Roman" w:hAnsi="Times New Roman"/>
        </w:rPr>
        <w:t> </w:t>
      </w:r>
      <w:r w:rsidRPr="00A260ED">
        <w:rPr>
          <w:rFonts w:ascii="Times New Roman" w:eastAsia="MS Mincho" w:hAnsi="Times New Roman"/>
        </w:rPr>
        <w:t>hours.</w:t>
      </w:r>
    </w:p>
    <w:p w14:paraId="6CE7A7C0"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rPr>
        <w:t>Subsequent infusions (each with 1000</w:t>
      </w:r>
      <w:r w:rsidRPr="00A260ED">
        <w:rPr>
          <w:rFonts w:ascii="Times New Roman" w:hAnsi="Times New Roman"/>
        </w:rPr>
        <w:t> </w:t>
      </w:r>
      <w:r w:rsidRPr="00A260ED">
        <w:rPr>
          <w:rFonts w:ascii="Times New Roman" w:eastAsia="MS Mincho" w:hAnsi="Times New Roman"/>
        </w:rPr>
        <w:t>mg obinutuzumab, cycle</w:t>
      </w:r>
      <w:r w:rsidRPr="00A260ED">
        <w:rPr>
          <w:rFonts w:ascii="Times New Roman" w:hAnsi="Times New Roman"/>
        </w:rPr>
        <w:t> </w:t>
      </w:r>
      <w:r w:rsidRPr="00A260ED">
        <w:rPr>
          <w:rFonts w:ascii="Times New Roman" w:eastAsia="MS Mincho" w:hAnsi="Times New Roman"/>
        </w:rPr>
        <w:t>1 days</w:t>
      </w:r>
      <w:r w:rsidRPr="00A260ED">
        <w:rPr>
          <w:rFonts w:ascii="Times New Roman" w:hAnsi="Times New Roman"/>
        </w:rPr>
        <w:t> </w:t>
      </w:r>
      <w:r w:rsidRPr="00A260ED">
        <w:rPr>
          <w:rFonts w:ascii="Times New Roman" w:eastAsia="MS Mincho" w:hAnsi="Times New Roman"/>
        </w:rPr>
        <w:t>8 and 15 and cycles 2</w:t>
      </w:r>
      <w:r w:rsidRPr="00A260ED">
        <w:rPr>
          <w:rFonts w:ascii="Times New Roman" w:hAnsi="Times New Roman"/>
        </w:rPr>
        <w:noBreakHyphen/>
      </w:r>
      <w:r w:rsidRPr="00A260ED">
        <w:rPr>
          <w:rFonts w:ascii="Times New Roman" w:eastAsia="MS Mincho" w:hAnsi="Times New Roman"/>
        </w:rPr>
        <w:t>6/8, followed by maintenance therapy with 1000 mg obinutuzumab every 2 months until disease progression or for up to two years):</w:t>
      </w:r>
    </w:p>
    <w:p w14:paraId="0E1B5B74" w14:textId="77777777" w:rsidR="00B6112F" w:rsidRPr="00A260ED" w:rsidRDefault="00B6112F" w:rsidP="00F3691F">
      <w:pPr>
        <w:pStyle w:val="J1"/>
        <w:rPr>
          <w:rFonts w:ascii="Times New Roman" w:eastAsia="MS Mincho" w:hAnsi="Times New Roman"/>
        </w:rPr>
      </w:pPr>
      <w:r w:rsidRPr="00A260ED">
        <w:rPr>
          <w:rFonts w:ascii="Times New Roman" w:eastAsia="MS Mincho" w:hAnsi="Times New Roman"/>
        </w:rPr>
        <w:t>If no IRRs or a grade</w:t>
      </w:r>
      <w:r w:rsidRPr="00A260ED">
        <w:rPr>
          <w:rFonts w:ascii="Times New Roman" w:hAnsi="Times New Roman"/>
        </w:rPr>
        <w:t> </w:t>
      </w:r>
      <w:r w:rsidRPr="00A260ED">
        <w:rPr>
          <w:rFonts w:ascii="Times New Roman" w:eastAsia="MS Mincho" w:hAnsi="Times New Roman"/>
        </w:rPr>
        <w:t>1 IRR has occurred during the previous infusion at a final infusion rate of ≥100 mg/h, subsequent infusions can be started at a rate of 100 mg/h and increased after the first 30 minutes by 100</w:t>
      </w:r>
      <w:r w:rsidRPr="00A260ED">
        <w:rPr>
          <w:rFonts w:ascii="Times New Roman" w:hAnsi="Times New Roman"/>
        </w:rPr>
        <w:t> </w:t>
      </w:r>
      <w:r w:rsidRPr="00A260ED">
        <w:rPr>
          <w:rFonts w:ascii="Times New Roman" w:eastAsia="MS Mincho" w:hAnsi="Times New Roman"/>
        </w:rPr>
        <w:t>mg/h increments every 30 minutes to a maximum of 400 mg/h. If the patient has experienced an IRR of grade 2 or higher during the previous infusion, start at a rate of 50 mg/h. After 30 minutes the infusion rate can be escalated in increments of 50 mg/h every 30 mi</w:t>
      </w:r>
      <w:r w:rsidR="00F3691F" w:rsidRPr="00A260ED">
        <w:rPr>
          <w:rFonts w:ascii="Times New Roman" w:eastAsia="MS Mincho" w:hAnsi="Times New Roman"/>
        </w:rPr>
        <w:t>nutes to a maximum of 400 mg/h.</w:t>
      </w:r>
    </w:p>
    <w:p w14:paraId="4A90176E" w14:textId="15FAABB2" w:rsidR="00B6112F" w:rsidRPr="00A260ED" w:rsidRDefault="00B6112F" w:rsidP="00EB2A24">
      <w:pPr>
        <w:pStyle w:val="T1"/>
        <w:numPr>
          <w:ilvl w:val="0"/>
          <w:numId w:val="0"/>
        </w:numPr>
        <w:rPr>
          <w:rFonts w:ascii="Times New Roman" w:hAnsi="Times New Roman"/>
          <w:b w:val="0"/>
        </w:rPr>
      </w:pPr>
      <w:r w:rsidRPr="00A260ED">
        <w:rPr>
          <w:rFonts w:ascii="Times New Roman" w:hAnsi="Times New Roman"/>
        </w:rPr>
        <w:t>Table 1</w:t>
      </w:r>
      <w:r w:rsidR="004362D6" w:rsidRPr="001234BF">
        <w:rPr>
          <w:rFonts w:ascii="Times New Roman" w:hAnsi="Times New Roman" w:cs="Times New Roman"/>
        </w:rPr>
        <w:t>:</w:t>
      </w:r>
      <w:r w:rsidRPr="00A260ED">
        <w:rPr>
          <w:rFonts w:ascii="Times New Roman" w:hAnsi="Times New Roman"/>
        </w:rPr>
        <w:tab/>
        <w:t>Infusion rate modification guidelines for infusion reactions (all indications)</w:t>
      </w: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794"/>
      </w:tblGrid>
      <w:tr w:rsidR="00B6112F" w:rsidRPr="001234BF" w14:paraId="395C3F00" w14:textId="77777777" w:rsidTr="00EB2A24">
        <w:tc>
          <w:tcPr>
            <w:tcW w:w="2160" w:type="dxa"/>
            <w:vAlign w:val="center"/>
          </w:tcPr>
          <w:p w14:paraId="14DFA9D6" w14:textId="77777777" w:rsidR="00B6112F" w:rsidRPr="00A260ED" w:rsidRDefault="00B6112F">
            <w:pPr>
              <w:pStyle w:val="T2"/>
              <w:rPr>
                <w:rFonts w:ascii="Times New Roman" w:hAnsi="Times New Roman"/>
                <w:b/>
                <w:sz w:val="22"/>
              </w:rPr>
            </w:pPr>
            <w:r w:rsidRPr="00A260ED">
              <w:rPr>
                <w:rFonts w:ascii="Times New Roman" w:hAnsi="Times New Roman"/>
                <w:b/>
                <w:sz w:val="22"/>
              </w:rPr>
              <w:t>Grade 4</w:t>
            </w:r>
            <w:r w:rsidRPr="00A260ED">
              <w:rPr>
                <w:rFonts w:ascii="Times New Roman" w:hAnsi="Times New Roman"/>
                <w:b/>
                <w:sz w:val="22"/>
              </w:rPr>
              <w:br/>
              <w:t>(life-threatening)</w:t>
            </w:r>
          </w:p>
        </w:tc>
        <w:tc>
          <w:tcPr>
            <w:tcW w:w="6794" w:type="dxa"/>
            <w:vAlign w:val="center"/>
          </w:tcPr>
          <w:p w14:paraId="6383262C" w14:textId="77777777" w:rsidR="00B6112F" w:rsidRPr="00A260ED" w:rsidRDefault="00B6112F">
            <w:pPr>
              <w:pStyle w:val="T2"/>
              <w:rPr>
                <w:rFonts w:ascii="Times New Roman" w:hAnsi="Times New Roman"/>
                <w:sz w:val="22"/>
              </w:rPr>
            </w:pPr>
            <w:r w:rsidRPr="00A260ED">
              <w:rPr>
                <w:rFonts w:ascii="Times New Roman" w:hAnsi="Times New Roman"/>
                <w:sz w:val="22"/>
              </w:rPr>
              <w:t>Stop infusion and permanently discontinue therapy.</w:t>
            </w:r>
          </w:p>
        </w:tc>
      </w:tr>
      <w:tr w:rsidR="00B6112F" w:rsidRPr="001234BF" w14:paraId="75490DF9" w14:textId="77777777" w:rsidTr="00EB2A24">
        <w:tc>
          <w:tcPr>
            <w:tcW w:w="2160" w:type="dxa"/>
            <w:vAlign w:val="center"/>
          </w:tcPr>
          <w:p w14:paraId="22E9B4C0" w14:textId="77777777" w:rsidR="00B6112F" w:rsidRPr="00A260ED" w:rsidRDefault="00B6112F">
            <w:pPr>
              <w:pStyle w:val="T2"/>
              <w:rPr>
                <w:rFonts w:ascii="Times New Roman" w:hAnsi="Times New Roman"/>
                <w:b/>
                <w:sz w:val="22"/>
              </w:rPr>
            </w:pPr>
            <w:r w:rsidRPr="00A260ED">
              <w:rPr>
                <w:rFonts w:ascii="Times New Roman" w:hAnsi="Times New Roman"/>
                <w:b/>
                <w:sz w:val="22"/>
              </w:rPr>
              <w:t>Grade 3</w:t>
            </w:r>
            <w:r w:rsidRPr="00A260ED">
              <w:rPr>
                <w:rFonts w:ascii="Times New Roman" w:hAnsi="Times New Roman"/>
                <w:b/>
                <w:sz w:val="22"/>
              </w:rPr>
              <w:br/>
              <w:t>(severe)</w:t>
            </w:r>
          </w:p>
        </w:tc>
        <w:tc>
          <w:tcPr>
            <w:tcW w:w="6794" w:type="dxa"/>
            <w:vAlign w:val="center"/>
          </w:tcPr>
          <w:p w14:paraId="7AC7E3BE" w14:textId="77777777" w:rsidR="00B6112F" w:rsidRPr="00A260ED" w:rsidRDefault="00B6112F">
            <w:pPr>
              <w:pStyle w:val="T2"/>
              <w:rPr>
                <w:rFonts w:ascii="Times New Roman" w:hAnsi="Times New Roman"/>
                <w:sz w:val="22"/>
              </w:rPr>
            </w:pPr>
            <w:r w:rsidRPr="00A260ED">
              <w:rPr>
                <w:rFonts w:ascii="Times New Roman" w:hAnsi="Times New Roman"/>
                <w:sz w:val="22"/>
              </w:rPr>
              <w:t>Temporarily interrupt infusion and treat symptoms.</w:t>
            </w:r>
          </w:p>
          <w:p w14:paraId="6178E07D" w14:textId="06BD8079" w:rsidR="00B6112F" w:rsidRPr="00A260ED" w:rsidRDefault="00B6112F" w:rsidP="00B6112F">
            <w:pPr>
              <w:pStyle w:val="T2"/>
              <w:spacing w:before="0"/>
              <w:rPr>
                <w:rFonts w:ascii="Times New Roman" w:hAnsi="Times New Roman"/>
                <w:sz w:val="22"/>
              </w:rPr>
            </w:pPr>
            <w:r w:rsidRPr="00A260ED">
              <w:rPr>
                <w:rFonts w:ascii="Times New Roman" w:hAnsi="Times New Roman"/>
                <w:sz w:val="22"/>
              </w:rPr>
              <w:t xml:space="preserve">Once symptoms resolve, the infusion can be resumed at no more than half the previous rate (at time of infusion reaction). If no more infusion reaction symptoms occur, infusion rate escalation may resume. If a second grade 3 infusion reaction occurs, treatment with </w:t>
            </w:r>
            <w:r w:rsidR="007F720C">
              <w:rPr>
                <w:rFonts w:ascii="Times New Roman" w:hAnsi="Times New Roman"/>
                <w:sz w:val="22"/>
              </w:rPr>
              <w:t>Gazyvaro</w:t>
            </w:r>
            <w:r w:rsidRPr="00A260ED">
              <w:rPr>
                <w:rFonts w:ascii="Times New Roman" w:hAnsi="Times New Roman"/>
                <w:sz w:val="22"/>
              </w:rPr>
              <w:t xml:space="preserve"> should be discontinued. In CLL patients in whom the first dose of cycle 1 is divided </w:t>
            </w:r>
            <w:r w:rsidRPr="00A260ED">
              <w:rPr>
                <w:rFonts w:ascii="Times New Roman" w:hAnsi="Times New Roman"/>
                <w:sz w:val="22"/>
              </w:rPr>
              <w:lastRenderedPageBreak/>
              <w:t>over two days, the infusion rate on day 1 can be increased back to 25 mg/h after 1 hour, but must not be increased further.</w:t>
            </w:r>
          </w:p>
        </w:tc>
      </w:tr>
      <w:tr w:rsidR="00B6112F" w:rsidRPr="001234BF" w14:paraId="0EE6E7B8" w14:textId="77777777" w:rsidTr="00EB2A24">
        <w:tc>
          <w:tcPr>
            <w:tcW w:w="2160" w:type="dxa"/>
            <w:vAlign w:val="center"/>
          </w:tcPr>
          <w:p w14:paraId="0EA9FF3F" w14:textId="77777777" w:rsidR="00B6112F" w:rsidRPr="00A260ED" w:rsidRDefault="00B6112F">
            <w:pPr>
              <w:pStyle w:val="T2"/>
              <w:rPr>
                <w:rFonts w:ascii="Times New Roman" w:hAnsi="Times New Roman"/>
                <w:b/>
                <w:sz w:val="22"/>
              </w:rPr>
            </w:pPr>
            <w:r w:rsidRPr="00A260ED">
              <w:rPr>
                <w:rFonts w:ascii="Times New Roman" w:hAnsi="Times New Roman"/>
                <w:b/>
                <w:sz w:val="22"/>
              </w:rPr>
              <w:lastRenderedPageBreak/>
              <w:t>Grades 1-2</w:t>
            </w:r>
            <w:r w:rsidRPr="00A260ED">
              <w:rPr>
                <w:rFonts w:ascii="Times New Roman" w:hAnsi="Times New Roman"/>
                <w:b/>
                <w:sz w:val="22"/>
              </w:rPr>
              <w:br/>
              <w:t>(mild and moderate)</w:t>
            </w:r>
          </w:p>
        </w:tc>
        <w:tc>
          <w:tcPr>
            <w:tcW w:w="6794" w:type="dxa"/>
            <w:vAlign w:val="center"/>
          </w:tcPr>
          <w:p w14:paraId="2AB1DC0B" w14:textId="77777777" w:rsidR="00B6112F" w:rsidRPr="00A260ED" w:rsidRDefault="00B6112F">
            <w:pPr>
              <w:pStyle w:val="T2"/>
              <w:rPr>
                <w:rFonts w:ascii="Times New Roman" w:hAnsi="Times New Roman"/>
                <w:sz w:val="22"/>
              </w:rPr>
            </w:pPr>
            <w:r w:rsidRPr="00A260ED">
              <w:rPr>
                <w:rFonts w:ascii="Times New Roman" w:hAnsi="Times New Roman"/>
                <w:sz w:val="22"/>
              </w:rPr>
              <w:t>Reduce infusion rate and treat symptoms.</w:t>
            </w:r>
          </w:p>
          <w:p w14:paraId="045368C4" w14:textId="77777777" w:rsidR="00B6112F" w:rsidRPr="00A260ED" w:rsidRDefault="00B6112F">
            <w:pPr>
              <w:pStyle w:val="T2"/>
              <w:rPr>
                <w:rFonts w:ascii="Times New Roman" w:hAnsi="Times New Roman"/>
                <w:sz w:val="22"/>
              </w:rPr>
            </w:pPr>
            <w:r w:rsidRPr="00A260ED">
              <w:rPr>
                <w:rFonts w:ascii="Times New Roman" w:hAnsi="Times New Roman"/>
                <w:sz w:val="22"/>
              </w:rPr>
              <w:t>Once symptoms resolve, continue infusion. If no further infusion reaction symptoms occur, the infusion rate may be escalated at the increments and intervals appropriate to the treatment dose (see “Subsequent infusions” above). In CLL patients in whom the first dose of cycle 1 is divided over two days, the infusion rate on day 1 can be increased back to 25 mg/h after 1 hour, but must not be increased further.</w:t>
            </w:r>
          </w:p>
        </w:tc>
      </w:tr>
    </w:tbl>
    <w:p w14:paraId="4B544061" w14:textId="77777777" w:rsidR="00B6112F" w:rsidRPr="00A260ED" w:rsidRDefault="00B6112F" w:rsidP="00EB2A24">
      <w:pPr>
        <w:pStyle w:val="Heading2"/>
        <w:numPr>
          <w:ilvl w:val="0"/>
          <w:numId w:val="0"/>
        </w:numPr>
        <w:ind w:left="1134" w:hanging="1134"/>
        <w:rPr>
          <w:rFonts w:ascii="Times New Roman" w:eastAsia="MS Mincho" w:hAnsi="Times New Roman"/>
          <w:b w:val="0"/>
          <w:i/>
          <w:sz w:val="22"/>
          <w:lang w:val="en-GB"/>
        </w:rPr>
      </w:pPr>
      <w:r w:rsidRPr="00A260ED">
        <w:rPr>
          <w:rFonts w:ascii="Times New Roman" w:eastAsia="MS Mincho" w:hAnsi="Times New Roman"/>
          <w:sz w:val="22"/>
          <w:lang w:val="en-GB"/>
        </w:rPr>
        <w:t>Delayed</w:t>
      </w:r>
      <w:r w:rsidRPr="00A260ED">
        <w:rPr>
          <w:rFonts w:ascii="Times New Roman" w:eastAsia="MS Mincho" w:hAnsi="Times New Roman"/>
          <w:b w:val="0"/>
          <w:sz w:val="22"/>
          <w:lang w:val="en-GB"/>
        </w:rPr>
        <w:t xml:space="preserve"> </w:t>
      </w:r>
      <w:r w:rsidRPr="00A260ED">
        <w:rPr>
          <w:rFonts w:ascii="Times New Roman" w:hAnsi="Times New Roman"/>
          <w:sz w:val="22"/>
        </w:rPr>
        <w:t>administration</w:t>
      </w:r>
    </w:p>
    <w:p w14:paraId="7A36AE77" w14:textId="3BAB4FD3"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If a planned dose of </w:t>
      </w:r>
      <w:r w:rsidR="007F720C">
        <w:rPr>
          <w:rFonts w:ascii="Times New Roman" w:eastAsia="MS Mincho" w:hAnsi="Times New Roman"/>
        </w:rPr>
        <w:t>Gazyvaro</w:t>
      </w:r>
      <w:r w:rsidRPr="00A260ED">
        <w:rPr>
          <w:rFonts w:ascii="Times New Roman" w:eastAsia="MS Mincho" w:hAnsi="Times New Roman"/>
        </w:rPr>
        <w:t xml:space="preserve"> is missed, it should be administered as soon as possible; do not omit the dose and do not wait until the next planned dose. If toxicity occurs before cycle 1 day 8 or cycle 1 day 15 that makes it necessary to postpone treatment, these doses should be given after resolution of toxicity. In such cases, all subsequent visits and the start of cycle 2 must be shifted to accommodate the delay in cycle 1. During maintenance therapy, keep to the original dosing schedule.</w:t>
      </w:r>
    </w:p>
    <w:p w14:paraId="1ECFF448" w14:textId="77777777" w:rsidR="00B6112F" w:rsidRPr="00A260ED" w:rsidRDefault="00B6112F" w:rsidP="00EB2A24">
      <w:pPr>
        <w:pStyle w:val="Heading2"/>
        <w:numPr>
          <w:ilvl w:val="0"/>
          <w:numId w:val="0"/>
        </w:numPr>
        <w:ind w:left="1134" w:hanging="1134"/>
        <w:rPr>
          <w:rFonts w:ascii="Times New Roman" w:eastAsia="MS Mincho" w:hAnsi="Times New Roman"/>
          <w:b w:val="0"/>
          <w:i/>
          <w:sz w:val="22"/>
          <w:lang w:val="en-GB"/>
        </w:rPr>
      </w:pPr>
      <w:r w:rsidRPr="00A260ED">
        <w:rPr>
          <w:rFonts w:ascii="Times New Roman" w:eastAsia="MS Mincho" w:hAnsi="Times New Roman"/>
          <w:b w:val="0"/>
          <w:sz w:val="22"/>
          <w:lang w:val="en-GB"/>
        </w:rPr>
        <w:t>Dosage modifications during treatment</w:t>
      </w:r>
    </w:p>
    <w:p w14:paraId="2ADB3B1C" w14:textId="562526E1"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Dose reduction of </w:t>
      </w:r>
      <w:r w:rsidR="007F720C">
        <w:rPr>
          <w:rFonts w:ascii="Times New Roman" w:eastAsia="MS Mincho" w:hAnsi="Times New Roman"/>
        </w:rPr>
        <w:t>Gazyvaro</w:t>
      </w:r>
      <w:r w:rsidRPr="00A260ED">
        <w:rPr>
          <w:rFonts w:ascii="Times New Roman" w:eastAsia="MS Mincho" w:hAnsi="Times New Roman"/>
        </w:rPr>
        <w:t xml:space="preserve"> is not recommended. For management of symptomatic adverse events (including IRRs), see </w:t>
      </w:r>
      <w:r w:rsidRPr="00A260ED">
        <w:rPr>
          <w:rFonts w:ascii="Times New Roman" w:hAnsi="Times New Roman"/>
        </w:rPr>
        <w:t>“</w:t>
      </w:r>
      <w:r w:rsidRPr="00A260ED">
        <w:rPr>
          <w:rFonts w:ascii="Times New Roman" w:eastAsia="MS Mincho" w:hAnsi="Times New Roman"/>
        </w:rPr>
        <w:t>Warnings and precautions</w:t>
      </w:r>
      <w:r w:rsidRPr="00A260ED">
        <w:rPr>
          <w:rFonts w:ascii="Times New Roman" w:hAnsi="Times New Roman"/>
        </w:rPr>
        <w:t>”.</w:t>
      </w:r>
    </w:p>
    <w:p w14:paraId="3777698E"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rPr>
        <w:t>For bendamustine dose adjustment, please consult the prescribing information for bendamustine.</w:t>
      </w:r>
    </w:p>
    <w:p w14:paraId="7B1931E4" w14:textId="77777777" w:rsidR="00B6112F" w:rsidRPr="00A260ED" w:rsidRDefault="00B6112F" w:rsidP="00EB2A24">
      <w:pPr>
        <w:pStyle w:val="Heading2"/>
        <w:numPr>
          <w:ilvl w:val="0"/>
          <w:numId w:val="0"/>
        </w:numPr>
        <w:ind w:left="1134" w:hanging="1134"/>
        <w:rPr>
          <w:rFonts w:ascii="Times New Roman" w:eastAsia="MS Mincho" w:hAnsi="Times New Roman"/>
          <w:b w:val="0"/>
          <w:i/>
          <w:sz w:val="22"/>
          <w:lang w:val="en-GB"/>
        </w:rPr>
      </w:pPr>
      <w:r w:rsidRPr="00A260ED">
        <w:rPr>
          <w:rFonts w:ascii="Times New Roman" w:eastAsia="MS Mincho" w:hAnsi="Times New Roman"/>
          <w:sz w:val="22"/>
          <w:lang w:val="en-GB"/>
        </w:rPr>
        <w:t>Special dosage instructions</w:t>
      </w:r>
    </w:p>
    <w:p w14:paraId="109BF8B5" w14:textId="77777777" w:rsidR="00B6112F" w:rsidRPr="00A260ED" w:rsidRDefault="00B6112F">
      <w:pPr>
        <w:pStyle w:val="Heading2a"/>
        <w:rPr>
          <w:rFonts w:ascii="Times New Roman" w:hAnsi="Times New Roman"/>
        </w:rPr>
      </w:pPr>
      <w:r w:rsidRPr="00A260ED">
        <w:rPr>
          <w:rFonts w:ascii="Times New Roman" w:hAnsi="Times New Roman"/>
        </w:rPr>
        <w:t>Patients with impaired hepatic function</w:t>
      </w:r>
    </w:p>
    <w:p w14:paraId="4AA0FB6A" w14:textId="4E930506"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The safety and efficacy of </w:t>
      </w:r>
      <w:r w:rsidR="007F720C">
        <w:rPr>
          <w:rFonts w:ascii="Times New Roman" w:eastAsia="MS Mincho" w:hAnsi="Times New Roman"/>
        </w:rPr>
        <w:t>Gazyvaro</w:t>
      </w:r>
      <w:r w:rsidRPr="00A260ED">
        <w:rPr>
          <w:rFonts w:ascii="Times New Roman" w:eastAsia="MS Mincho" w:hAnsi="Times New Roman"/>
        </w:rPr>
        <w:t xml:space="preserve"> have not been studied in patients with hepatic impairment.</w:t>
      </w:r>
    </w:p>
    <w:p w14:paraId="1CD9EC2C" w14:textId="77777777" w:rsidR="00B6112F" w:rsidRPr="00A260ED" w:rsidRDefault="00B6112F" w:rsidP="002F7032">
      <w:pPr>
        <w:pStyle w:val="Heading2"/>
        <w:numPr>
          <w:ilvl w:val="0"/>
          <w:numId w:val="0"/>
        </w:numPr>
        <w:ind w:left="1134" w:hanging="1134"/>
        <w:rPr>
          <w:rFonts w:ascii="Times New Roman" w:eastAsia="MS Mincho" w:hAnsi="Times New Roman"/>
          <w:b w:val="0"/>
          <w:i/>
          <w:sz w:val="22"/>
          <w:lang w:val="en-GB"/>
        </w:rPr>
      </w:pPr>
      <w:r w:rsidRPr="00A260ED">
        <w:rPr>
          <w:rFonts w:ascii="Times New Roman" w:eastAsia="MS Mincho" w:hAnsi="Times New Roman"/>
          <w:b w:val="0"/>
          <w:i/>
          <w:sz w:val="22"/>
          <w:lang w:val="en-GB"/>
        </w:rPr>
        <w:t>Patients with impaired renal function</w:t>
      </w:r>
    </w:p>
    <w:p w14:paraId="6F462594" w14:textId="77777777" w:rsidR="002F7032" w:rsidRPr="00A260ED" w:rsidRDefault="00B6112F">
      <w:pPr>
        <w:pStyle w:val="J1"/>
        <w:rPr>
          <w:rFonts w:ascii="Times New Roman" w:hAnsi="Times New Roman"/>
        </w:rPr>
      </w:pPr>
      <w:r w:rsidRPr="00A260ED">
        <w:rPr>
          <w:rFonts w:ascii="Times New Roman" w:hAnsi="Times New Roman"/>
        </w:rPr>
        <w:t>No dose adjustment is required in patients with mild or moderate renal impairment.</w:t>
      </w:r>
    </w:p>
    <w:p w14:paraId="711C978C" w14:textId="7175756F" w:rsidR="00B6112F" w:rsidRPr="00A260ED" w:rsidRDefault="007F720C">
      <w:pPr>
        <w:pStyle w:val="J1"/>
        <w:rPr>
          <w:rFonts w:ascii="Times New Roman" w:hAnsi="Times New Roman"/>
        </w:rPr>
      </w:pPr>
      <w:r>
        <w:rPr>
          <w:rFonts w:ascii="Times New Roman" w:hAnsi="Times New Roman"/>
        </w:rPr>
        <w:t>Gazyvaro</w:t>
      </w:r>
      <w:r w:rsidR="00B6112F" w:rsidRPr="00A260ED">
        <w:rPr>
          <w:rFonts w:ascii="Times New Roman" w:hAnsi="Times New Roman"/>
        </w:rPr>
        <w:t xml:space="preserve"> has not been studied in patients with CrCl &lt;30 ml/min (see “Undesirable effects” and “Pharmacokinetics”).</w:t>
      </w:r>
    </w:p>
    <w:p w14:paraId="70EECE91" w14:textId="77777777" w:rsidR="00B6112F" w:rsidRPr="00A260ED" w:rsidRDefault="00B6112F" w:rsidP="00EB2A24">
      <w:pPr>
        <w:pStyle w:val="Heading2"/>
        <w:numPr>
          <w:ilvl w:val="0"/>
          <w:numId w:val="0"/>
        </w:numPr>
        <w:ind w:left="1134" w:hanging="1134"/>
        <w:rPr>
          <w:rFonts w:ascii="Times New Roman" w:eastAsia="MS Mincho" w:hAnsi="Times New Roman"/>
          <w:sz w:val="22"/>
          <w:lang w:val="en-GB"/>
        </w:rPr>
      </w:pPr>
      <w:r w:rsidRPr="00A260ED">
        <w:rPr>
          <w:rFonts w:ascii="Times New Roman" w:hAnsi="Times New Roman"/>
          <w:sz w:val="22"/>
        </w:rPr>
        <w:t>Elderly</w:t>
      </w:r>
      <w:r w:rsidRPr="00A260ED">
        <w:rPr>
          <w:rFonts w:ascii="Times New Roman" w:eastAsia="MS Mincho" w:hAnsi="Times New Roman"/>
          <w:i/>
          <w:sz w:val="22"/>
          <w:lang w:val="en-GB"/>
        </w:rPr>
        <w:t xml:space="preserve"> patients</w:t>
      </w:r>
    </w:p>
    <w:p w14:paraId="1477827F"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No dose adjustment is required in </w:t>
      </w:r>
      <w:proofErr w:type="gramStart"/>
      <w:r w:rsidRPr="00A260ED">
        <w:rPr>
          <w:rFonts w:ascii="Times New Roman" w:eastAsia="MS Mincho" w:hAnsi="Times New Roman"/>
        </w:rPr>
        <w:t>patients</w:t>
      </w:r>
      <w:proofErr w:type="gramEnd"/>
      <w:r w:rsidRPr="00A260ED">
        <w:rPr>
          <w:rFonts w:ascii="Times New Roman" w:eastAsia="MS Mincho" w:hAnsi="Times New Roman"/>
        </w:rPr>
        <w:t xml:space="preserve"> ≥65 years of age.</w:t>
      </w:r>
    </w:p>
    <w:p w14:paraId="47D5F251" w14:textId="77777777" w:rsidR="00B6112F" w:rsidRPr="00A260ED" w:rsidRDefault="00B6112F" w:rsidP="00EB2A24">
      <w:pPr>
        <w:pStyle w:val="Heading2"/>
        <w:numPr>
          <w:ilvl w:val="0"/>
          <w:numId w:val="0"/>
        </w:numPr>
        <w:ind w:left="1134" w:hanging="1134"/>
        <w:rPr>
          <w:rFonts w:ascii="Times New Roman" w:eastAsia="MS Mincho" w:hAnsi="Times New Roman"/>
          <w:sz w:val="22"/>
          <w:lang w:val="en-GB"/>
        </w:rPr>
      </w:pPr>
      <w:r w:rsidRPr="00A260ED">
        <w:rPr>
          <w:rFonts w:ascii="Times New Roman" w:hAnsi="Times New Roman"/>
          <w:sz w:val="22"/>
        </w:rPr>
        <w:t>Children</w:t>
      </w:r>
      <w:r w:rsidRPr="00A260ED">
        <w:rPr>
          <w:rFonts w:ascii="Times New Roman" w:eastAsia="MS Mincho" w:hAnsi="Times New Roman"/>
          <w:i/>
          <w:sz w:val="22"/>
          <w:lang w:val="en-GB"/>
        </w:rPr>
        <w:t xml:space="preserve"> and adolescents</w:t>
      </w:r>
    </w:p>
    <w:p w14:paraId="75BDDF65"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rPr>
        <w:t>No safety and efficacy studies have been conducted in children and adolescents under 18</w:t>
      </w:r>
      <w:r w:rsidRPr="00A260ED">
        <w:rPr>
          <w:rFonts w:ascii="Times New Roman" w:hAnsi="Times New Roman"/>
        </w:rPr>
        <w:t> </w:t>
      </w:r>
      <w:r w:rsidRPr="00A260ED">
        <w:rPr>
          <w:rFonts w:ascii="Times New Roman" w:eastAsia="MS Mincho" w:hAnsi="Times New Roman"/>
        </w:rPr>
        <w:t>years of age.</w:t>
      </w:r>
    </w:p>
    <w:p w14:paraId="10301AF5" w14:textId="77777777" w:rsidR="00B6112F" w:rsidRPr="00A260ED" w:rsidRDefault="00B6112F" w:rsidP="00EB2A24">
      <w:pPr>
        <w:pStyle w:val="Heading1"/>
        <w:numPr>
          <w:ilvl w:val="0"/>
          <w:numId w:val="0"/>
        </w:numPr>
        <w:ind w:left="1134" w:hanging="1134"/>
        <w:rPr>
          <w:rFonts w:ascii="Times New Roman" w:hAnsi="Times New Roman"/>
          <w:sz w:val="22"/>
        </w:rPr>
      </w:pPr>
      <w:r w:rsidRPr="00A260ED">
        <w:rPr>
          <w:rFonts w:ascii="Times New Roman" w:hAnsi="Times New Roman"/>
          <w:sz w:val="22"/>
        </w:rPr>
        <w:t>Contraindications</w:t>
      </w:r>
    </w:p>
    <w:p w14:paraId="2086E6D2"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rPr>
        <w:t>Known hypersensitivity to the active substance or to any of the excipients.</w:t>
      </w:r>
    </w:p>
    <w:p w14:paraId="7251DA81" w14:textId="77777777" w:rsidR="00B6112F" w:rsidRPr="00A260ED" w:rsidRDefault="00B6112F" w:rsidP="00EB2A24">
      <w:pPr>
        <w:pStyle w:val="Heading1"/>
        <w:numPr>
          <w:ilvl w:val="0"/>
          <w:numId w:val="0"/>
        </w:numPr>
        <w:ind w:left="1134" w:hanging="1134"/>
        <w:rPr>
          <w:rFonts w:ascii="Times New Roman" w:hAnsi="Times New Roman"/>
          <w:sz w:val="22"/>
        </w:rPr>
      </w:pPr>
      <w:r w:rsidRPr="00A260ED">
        <w:rPr>
          <w:rFonts w:ascii="Times New Roman" w:hAnsi="Times New Roman"/>
          <w:sz w:val="22"/>
        </w:rPr>
        <w:t>Warnings and precautions</w:t>
      </w:r>
    </w:p>
    <w:p w14:paraId="49388D5C" w14:textId="77777777" w:rsidR="00B6112F" w:rsidRPr="00A260ED" w:rsidRDefault="00B6112F" w:rsidP="00EB2A24">
      <w:pPr>
        <w:pStyle w:val="Heading4"/>
        <w:numPr>
          <w:ilvl w:val="0"/>
          <w:numId w:val="0"/>
        </w:numPr>
        <w:ind w:left="1134" w:hanging="1134"/>
        <w:rPr>
          <w:rFonts w:ascii="Times New Roman" w:eastAsia="MS Mincho" w:hAnsi="Times New Roman"/>
          <w:b w:val="0"/>
          <w:sz w:val="22"/>
          <w:lang w:val="en-GB"/>
        </w:rPr>
      </w:pPr>
      <w:r w:rsidRPr="00A260ED">
        <w:rPr>
          <w:rFonts w:ascii="Times New Roman" w:eastAsia="MS Mincho" w:hAnsi="Times New Roman"/>
          <w:sz w:val="22"/>
          <w:lang w:val="en-GB"/>
        </w:rPr>
        <w:t>Infusion reactions</w:t>
      </w:r>
    </w:p>
    <w:p w14:paraId="1993DE10" w14:textId="3E289820"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The most frequently observed adverse drug reactions (ADRs) in patients receiving </w:t>
      </w:r>
      <w:r w:rsidR="007F720C">
        <w:rPr>
          <w:rFonts w:ascii="Times New Roman" w:eastAsia="MS Mincho" w:hAnsi="Times New Roman"/>
        </w:rPr>
        <w:t>Gazyvaro</w:t>
      </w:r>
      <w:r w:rsidRPr="00A260ED">
        <w:rPr>
          <w:rFonts w:ascii="Times New Roman" w:eastAsia="MS Mincho" w:hAnsi="Times New Roman"/>
        </w:rPr>
        <w:t xml:space="preserve"> were infusion reactions (IRRs), which occurred predominantly during infusion of the first 1000</w:t>
      </w:r>
      <w:r w:rsidRPr="00A260ED">
        <w:rPr>
          <w:rFonts w:ascii="Times New Roman" w:hAnsi="Times New Roman"/>
        </w:rPr>
        <w:t xml:space="preserve"> </w:t>
      </w:r>
      <w:r w:rsidRPr="00A260ED">
        <w:rPr>
          <w:rFonts w:ascii="Times New Roman" w:eastAsia="MS Mincho" w:hAnsi="Times New Roman"/>
        </w:rPr>
        <w:t xml:space="preserve">mg. The measures for preventing infusion reactions described under </w:t>
      </w:r>
      <w:r w:rsidRPr="00A260ED">
        <w:rPr>
          <w:rFonts w:ascii="Times New Roman" w:hAnsi="Times New Roman"/>
        </w:rPr>
        <w:t>“</w:t>
      </w:r>
      <w:r w:rsidRPr="00A260ED">
        <w:rPr>
          <w:rFonts w:ascii="Times New Roman" w:eastAsia="MS Mincho" w:hAnsi="Times New Roman"/>
        </w:rPr>
        <w:t>Dosage</w:t>
      </w:r>
      <w:r w:rsidRPr="00A260ED">
        <w:rPr>
          <w:rFonts w:ascii="Times New Roman" w:hAnsi="Times New Roman"/>
        </w:rPr>
        <w:t>/Administration”</w:t>
      </w:r>
      <w:r w:rsidRPr="00A260ED">
        <w:rPr>
          <w:rFonts w:ascii="Times New Roman" w:eastAsia="MS Mincho" w:hAnsi="Times New Roman"/>
        </w:rPr>
        <w:t xml:space="preserve"> decreased the incidence of all-grade infusion reactions in CLL patients. However, the incidences of grade 3</w:t>
      </w:r>
      <w:r w:rsidRPr="00A260ED">
        <w:rPr>
          <w:rFonts w:ascii="Times New Roman" w:hAnsi="Times New Roman"/>
        </w:rPr>
        <w:noBreakHyphen/>
      </w:r>
      <w:r w:rsidRPr="00A260ED">
        <w:rPr>
          <w:rFonts w:ascii="Times New Roman" w:eastAsia="MS Mincho" w:hAnsi="Times New Roman"/>
        </w:rPr>
        <w:t xml:space="preserve">4 infusion reactions were similarly frequent with and without these measures. The preventive measures to reduce IRRs (see </w:t>
      </w:r>
      <w:r w:rsidRPr="00A260ED">
        <w:rPr>
          <w:rFonts w:ascii="Times New Roman" w:hAnsi="Times New Roman"/>
        </w:rPr>
        <w:t>“</w:t>
      </w:r>
      <w:r w:rsidRPr="00A260ED">
        <w:rPr>
          <w:rFonts w:ascii="Times New Roman" w:eastAsia="MS Mincho" w:hAnsi="Times New Roman"/>
        </w:rPr>
        <w:t>Dosage</w:t>
      </w:r>
      <w:r w:rsidRPr="00A260ED">
        <w:rPr>
          <w:rFonts w:ascii="Times New Roman" w:hAnsi="Times New Roman"/>
        </w:rPr>
        <w:t>/Administration”)</w:t>
      </w:r>
      <w:r w:rsidRPr="00A260ED">
        <w:rPr>
          <w:rFonts w:ascii="Times New Roman" w:eastAsia="MS Mincho" w:hAnsi="Times New Roman"/>
        </w:rPr>
        <w:t xml:space="preserve"> should be undertaken. Most patients had no infusion reactions during subsequent infusions of </w:t>
      </w:r>
      <w:r w:rsidR="007F720C">
        <w:rPr>
          <w:rFonts w:ascii="Times New Roman" w:eastAsia="MS Mincho" w:hAnsi="Times New Roman"/>
        </w:rPr>
        <w:t>Gazyvaro</w:t>
      </w:r>
      <w:r w:rsidRPr="00A260ED">
        <w:rPr>
          <w:rFonts w:ascii="Times New Roman" w:eastAsia="MS Mincho" w:hAnsi="Times New Roman"/>
        </w:rPr>
        <w:t>.</w:t>
      </w:r>
    </w:p>
    <w:p w14:paraId="58BAC4E8"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rPr>
        <w:lastRenderedPageBreak/>
        <w:t>In the majority of patients, regardless of indication, infusion reactions were mild to moderate and could be managed by slowing or temporarily halting the first infusion, but severe and life-threatening infusion reactions requiring symptomatic treatment have also been reported. CLL patients with a high tumour burden and/or a high number of circulating lymphocytes (&gt;25 × 10</w:t>
      </w:r>
      <w:r w:rsidRPr="00A260ED">
        <w:rPr>
          <w:rFonts w:ascii="Times New Roman" w:eastAsia="MS Mincho" w:hAnsi="Times New Roman"/>
          <w:vertAlign w:val="superscript"/>
        </w:rPr>
        <w:t>9</w:t>
      </w:r>
      <w:r w:rsidRPr="00A260ED">
        <w:rPr>
          <w:rFonts w:ascii="Times New Roman" w:eastAsia="MS Mincho" w:hAnsi="Times New Roman"/>
        </w:rPr>
        <w:t xml:space="preserve">/l) may be at increased risk of severe infusion reactions. See </w:t>
      </w:r>
      <w:r w:rsidRPr="00A260ED">
        <w:rPr>
          <w:rFonts w:ascii="Times New Roman" w:hAnsi="Times New Roman"/>
        </w:rPr>
        <w:t>“</w:t>
      </w:r>
      <w:r w:rsidRPr="00A260ED">
        <w:rPr>
          <w:rFonts w:ascii="Times New Roman" w:eastAsia="MS Mincho" w:hAnsi="Times New Roman"/>
        </w:rPr>
        <w:t>Dosage</w:t>
      </w:r>
      <w:r w:rsidRPr="00A260ED">
        <w:rPr>
          <w:rFonts w:ascii="Times New Roman" w:hAnsi="Times New Roman"/>
        </w:rPr>
        <w:t>/Administration”</w:t>
      </w:r>
      <w:r w:rsidRPr="00A260ED">
        <w:rPr>
          <w:rFonts w:ascii="Times New Roman" w:eastAsia="MS Mincho" w:hAnsi="Times New Roman"/>
        </w:rPr>
        <w:t xml:space="preserve"> for information on prophylaxis and Infusion rate modification guidelines for infusion reactions in Table 1 on how to manage IRRs based on grade of reaction.</w:t>
      </w:r>
    </w:p>
    <w:p w14:paraId="1020E1DC" w14:textId="3CF79196"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Patients experiencing any of the following events should not receive further </w:t>
      </w:r>
      <w:r w:rsidR="007F720C">
        <w:rPr>
          <w:rFonts w:ascii="Times New Roman" w:eastAsia="MS Mincho" w:hAnsi="Times New Roman"/>
        </w:rPr>
        <w:t>Gazyvaro</w:t>
      </w:r>
      <w:r w:rsidRPr="00A260ED">
        <w:rPr>
          <w:rFonts w:ascii="Times New Roman" w:eastAsia="MS Mincho" w:hAnsi="Times New Roman"/>
        </w:rPr>
        <w:t xml:space="preserve"> infusions:</w:t>
      </w:r>
    </w:p>
    <w:p w14:paraId="588565C6" w14:textId="77777777" w:rsidR="00B6112F" w:rsidRPr="00A260ED" w:rsidRDefault="00B6112F" w:rsidP="00EB2A24">
      <w:pPr>
        <w:pStyle w:val="J1"/>
        <w:numPr>
          <w:ilvl w:val="0"/>
          <w:numId w:val="3"/>
        </w:numPr>
        <w:rPr>
          <w:rFonts w:ascii="Times New Roman" w:eastAsia="MS Mincho" w:hAnsi="Times New Roman"/>
        </w:rPr>
      </w:pPr>
      <w:r w:rsidRPr="00A260ED">
        <w:rPr>
          <w:rFonts w:ascii="Times New Roman" w:eastAsia="MS Mincho" w:hAnsi="Times New Roman"/>
        </w:rPr>
        <w:t>Acute life-threatening respiratory symptoms</w:t>
      </w:r>
    </w:p>
    <w:p w14:paraId="109E4742" w14:textId="77777777" w:rsidR="00B6112F" w:rsidRPr="00A260ED" w:rsidRDefault="00B6112F" w:rsidP="00EB2A24">
      <w:pPr>
        <w:pStyle w:val="J1"/>
        <w:numPr>
          <w:ilvl w:val="0"/>
          <w:numId w:val="3"/>
        </w:numPr>
        <w:rPr>
          <w:rFonts w:ascii="Times New Roman" w:eastAsia="MS Mincho" w:hAnsi="Times New Roman"/>
        </w:rPr>
      </w:pPr>
      <w:r w:rsidRPr="00A260ED">
        <w:rPr>
          <w:rFonts w:ascii="Times New Roman" w:eastAsia="MS Mincho" w:hAnsi="Times New Roman"/>
        </w:rPr>
        <w:t>A grade 4 (i.e. life</w:t>
      </w:r>
      <w:r w:rsidRPr="00A260ED">
        <w:rPr>
          <w:rFonts w:ascii="Times New Roman" w:hAnsi="Times New Roman"/>
        </w:rPr>
        <w:t xml:space="preserve"> </w:t>
      </w:r>
      <w:r w:rsidRPr="00A260ED">
        <w:rPr>
          <w:rFonts w:ascii="Times New Roman" w:eastAsia="MS Mincho" w:hAnsi="Times New Roman"/>
        </w:rPr>
        <w:t>threatening) infusion reaction or</w:t>
      </w:r>
    </w:p>
    <w:p w14:paraId="232058CA" w14:textId="77777777" w:rsidR="00B6112F" w:rsidRPr="00A260ED" w:rsidRDefault="00B6112F" w:rsidP="00EB2A24">
      <w:pPr>
        <w:pStyle w:val="J1"/>
        <w:numPr>
          <w:ilvl w:val="0"/>
          <w:numId w:val="3"/>
        </w:numPr>
        <w:rPr>
          <w:rFonts w:ascii="Times New Roman" w:eastAsia="MS Mincho" w:hAnsi="Times New Roman"/>
        </w:rPr>
      </w:pPr>
      <w:r w:rsidRPr="00A260ED">
        <w:rPr>
          <w:rFonts w:ascii="Times New Roman" w:eastAsia="MS Mincho" w:hAnsi="Times New Roman"/>
        </w:rPr>
        <w:t>A second (prolonged/recurrent) grade 3 infusion reaction (after resuming the first infusion or during a subsequent infusion).</w:t>
      </w:r>
    </w:p>
    <w:p w14:paraId="2AFAFE7F" w14:textId="685D05E2"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Patients with pre-existing cardiac or pulmonary conditions should be carefully monitored during and after the infusion. Hypotension may be expected to occur during </w:t>
      </w:r>
      <w:r w:rsidR="007F720C">
        <w:rPr>
          <w:rFonts w:ascii="Times New Roman" w:eastAsia="MS Mincho" w:hAnsi="Times New Roman"/>
        </w:rPr>
        <w:t>Gazyvaro</w:t>
      </w:r>
      <w:r w:rsidRPr="00A260ED">
        <w:rPr>
          <w:rFonts w:ascii="Times New Roman" w:eastAsia="MS Mincho" w:hAnsi="Times New Roman"/>
        </w:rPr>
        <w:t xml:space="preserve"> infusions. Therefore, discontinuation of antihypertensive medications should be considered for 12 hours before, during and for the first hour after each </w:t>
      </w:r>
      <w:r w:rsidR="007F720C">
        <w:rPr>
          <w:rFonts w:ascii="Times New Roman" w:eastAsia="MS Mincho" w:hAnsi="Times New Roman"/>
        </w:rPr>
        <w:t>Gazyvaro</w:t>
      </w:r>
      <w:r w:rsidRPr="00A260ED">
        <w:rPr>
          <w:rFonts w:ascii="Times New Roman" w:eastAsia="MS Mincho" w:hAnsi="Times New Roman"/>
        </w:rPr>
        <w:t xml:space="preserve"> infusion. Patients at acute risk of hypertensive crisis should be evaluated for the benefits and risks of discontinuing their antihypertensive medication.</w:t>
      </w:r>
    </w:p>
    <w:p w14:paraId="7A02220E" w14:textId="77777777" w:rsidR="00B6112F" w:rsidRPr="00A260ED" w:rsidRDefault="00B6112F" w:rsidP="00EB2A24">
      <w:pPr>
        <w:pStyle w:val="Heading4"/>
        <w:numPr>
          <w:ilvl w:val="0"/>
          <w:numId w:val="0"/>
        </w:numPr>
        <w:ind w:left="1134" w:hanging="1134"/>
        <w:rPr>
          <w:rFonts w:ascii="Times New Roman" w:eastAsia="MS Mincho" w:hAnsi="Times New Roman"/>
          <w:b w:val="0"/>
          <w:sz w:val="22"/>
          <w:lang w:val="en-GB"/>
        </w:rPr>
      </w:pPr>
      <w:r w:rsidRPr="00A260ED">
        <w:rPr>
          <w:rFonts w:ascii="Times New Roman" w:eastAsia="MS Mincho" w:hAnsi="Times New Roman"/>
          <w:sz w:val="22"/>
          <w:lang w:val="en-GB"/>
        </w:rPr>
        <w:t>Hypersensitivity reactions including anaphylaxis</w:t>
      </w:r>
    </w:p>
    <w:p w14:paraId="3EE15DB6" w14:textId="797399E7"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Hypersensitivity reactions of the immediate type (e.g. anaphylaxis) or delayed type (e.g. serum sickness) have been reported in patients treated with </w:t>
      </w:r>
      <w:r w:rsidR="007F720C">
        <w:rPr>
          <w:rFonts w:ascii="Times New Roman" w:eastAsia="MS Mincho" w:hAnsi="Times New Roman"/>
        </w:rPr>
        <w:t>Gazyvaro</w:t>
      </w:r>
      <w:r w:rsidRPr="00A260ED">
        <w:rPr>
          <w:rFonts w:ascii="Times New Roman" w:eastAsia="MS Mincho" w:hAnsi="Times New Roman"/>
        </w:rPr>
        <w:t xml:space="preserve">. If a hypersensitivity reaction is suspected during or after an infusion (e.g. symptoms typically occurring after previous exposure and very rarely with the first infusion), the infusion should be stopped and treatment permanently discontinued. Patients with known hypersensitivity to </w:t>
      </w:r>
      <w:r w:rsidR="007F720C">
        <w:rPr>
          <w:rFonts w:ascii="Times New Roman" w:eastAsia="MS Mincho" w:hAnsi="Times New Roman"/>
        </w:rPr>
        <w:t>Gazyvaro</w:t>
      </w:r>
      <w:r w:rsidRPr="00A260ED">
        <w:rPr>
          <w:rFonts w:ascii="Times New Roman" w:eastAsia="MS Mincho" w:hAnsi="Times New Roman"/>
        </w:rPr>
        <w:t xml:space="preserve"> must not be treated with </w:t>
      </w:r>
      <w:r w:rsidR="007F720C">
        <w:rPr>
          <w:rFonts w:ascii="Times New Roman" w:eastAsia="MS Mincho" w:hAnsi="Times New Roman"/>
        </w:rPr>
        <w:t>Gazyvaro</w:t>
      </w:r>
      <w:r w:rsidRPr="00A260ED">
        <w:rPr>
          <w:rFonts w:ascii="Times New Roman" w:eastAsia="MS Mincho" w:hAnsi="Times New Roman"/>
        </w:rPr>
        <w:t xml:space="preserve"> (see </w:t>
      </w:r>
      <w:r w:rsidRPr="00A260ED">
        <w:rPr>
          <w:rFonts w:ascii="Times New Roman" w:hAnsi="Times New Roman"/>
        </w:rPr>
        <w:t>“</w:t>
      </w:r>
      <w:r w:rsidRPr="00A260ED">
        <w:rPr>
          <w:rFonts w:ascii="Times New Roman" w:eastAsia="MS Mincho" w:hAnsi="Times New Roman"/>
        </w:rPr>
        <w:t>Contraindications</w:t>
      </w:r>
      <w:r w:rsidRPr="00A260ED">
        <w:rPr>
          <w:rFonts w:ascii="Times New Roman" w:hAnsi="Times New Roman"/>
        </w:rPr>
        <w:t>”).</w:t>
      </w:r>
      <w:r w:rsidRPr="00A260ED">
        <w:rPr>
          <w:rFonts w:ascii="Times New Roman" w:eastAsia="MS Mincho" w:hAnsi="Times New Roman"/>
        </w:rPr>
        <w:t xml:space="preserve"> Hypersensitivity reactions may be clinically difficult to distinguish from infusion reactions.</w:t>
      </w:r>
    </w:p>
    <w:p w14:paraId="66D4D4E0" w14:textId="77777777" w:rsidR="00B6112F" w:rsidRPr="00A260ED" w:rsidRDefault="00B6112F" w:rsidP="00EB2A24">
      <w:pPr>
        <w:pStyle w:val="Heading4"/>
        <w:numPr>
          <w:ilvl w:val="0"/>
          <w:numId w:val="0"/>
        </w:numPr>
        <w:ind w:left="1134" w:hanging="1134"/>
        <w:rPr>
          <w:rFonts w:ascii="Times New Roman" w:eastAsia="MS Mincho" w:hAnsi="Times New Roman"/>
          <w:b w:val="0"/>
          <w:sz w:val="22"/>
          <w:lang w:val="en-GB"/>
        </w:rPr>
      </w:pPr>
      <w:r w:rsidRPr="00A260ED">
        <w:rPr>
          <w:rFonts w:ascii="Times New Roman" w:eastAsia="MS Mincho" w:hAnsi="Times New Roman"/>
          <w:sz w:val="22"/>
          <w:lang w:val="en-GB"/>
        </w:rPr>
        <w:t>Tumour lysis syndrome</w:t>
      </w:r>
      <w:r w:rsidRPr="00A260ED">
        <w:rPr>
          <w:rFonts w:ascii="Times New Roman" w:hAnsi="Times New Roman"/>
          <w:sz w:val="22"/>
        </w:rPr>
        <w:t>.</w:t>
      </w:r>
    </w:p>
    <w:p w14:paraId="0DF77357" w14:textId="05CB7D6E"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Cases of tumour lysis syndrome (TLS) have been reported during treatment with </w:t>
      </w:r>
      <w:r w:rsidR="007F720C">
        <w:rPr>
          <w:rFonts w:ascii="Times New Roman" w:eastAsia="MS Mincho" w:hAnsi="Times New Roman"/>
        </w:rPr>
        <w:t>Gazyvaro</w:t>
      </w:r>
      <w:r w:rsidRPr="00A260ED">
        <w:rPr>
          <w:rFonts w:ascii="Times New Roman" w:eastAsia="MS Mincho" w:hAnsi="Times New Roman"/>
        </w:rPr>
        <w:t>. Patients considered at risk of TLS (e.g. patients with a high tumour burden and/or a high circulating lymphocyte count [&gt;25</w:t>
      </w:r>
      <w:r w:rsidRPr="00A260ED">
        <w:rPr>
          <w:rFonts w:ascii="Times New Roman" w:hAnsi="Times New Roman"/>
        </w:rPr>
        <w:t> × </w:t>
      </w:r>
      <w:r w:rsidRPr="00A260ED">
        <w:rPr>
          <w:rFonts w:ascii="Times New Roman" w:eastAsia="MS Mincho" w:hAnsi="Times New Roman"/>
        </w:rPr>
        <w:t>10</w:t>
      </w:r>
      <w:r w:rsidRPr="00A260ED">
        <w:rPr>
          <w:rFonts w:ascii="Times New Roman" w:eastAsia="MS Mincho" w:hAnsi="Times New Roman"/>
          <w:vertAlign w:val="superscript"/>
        </w:rPr>
        <w:t>9</w:t>
      </w:r>
      <w:r w:rsidRPr="00A260ED">
        <w:rPr>
          <w:rFonts w:ascii="Times New Roman" w:eastAsia="MS Mincho" w:hAnsi="Times New Roman"/>
        </w:rPr>
        <w:t>/l] and/or renal impairment [CrCl &lt;70</w:t>
      </w:r>
      <w:r w:rsidRPr="00A260ED">
        <w:rPr>
          <w:rFonts w:ascii="Times New Roman" w:hAnsi="Times New Roman"/>
        </w:rPr>
        <w:t> </w:t>
      </w:r>
      <w:r w:rsidRPr="00A260ED">
        <w:rPr>
          <w:rFonts w:ascii="Times New Roman" w:eastAsia="MS Mincho" w:hAnsi="Times New Roman"/>
        </w:rPr>
        <w:t xml:space="preserve">ml/min]) should receive prophylaxis. Prophylaxis should consist of adequate hydration and administration of uricostatics (e.g. allopurinol) or a suitable alternative such as urate oxidase (e.g. rasburicase) before the start of </w:t>
      </w:r>
      <w:r w:rsidR="007F720C">
        <w:rPr>
          <w:rFonts w:ascii="Times New Roman" w:eastAsia="MS Mincho" w:hAnsi="Times New Roman"/>
        </w:rPr>
        <w:t>Gazyvaro</w:t>
      </w:r>
      <w:r w:rsidRPr="00A260ED">
        <w:rPr>
          <w:rFonts w:ascii="Times New Roman" w:eastAsia="MS Mincho" w:hAnsi="Times New Roman"/>
        </w:rPr>
        <w:t xml:space="preserve"> infusion, as described under </w:t>
      </w:r>
      <w:r w:rsidRPr="00A260ED">
        <w:rPr>
          <w:rFonts w:ascii="Times New Roman" w:hAnsi="Times New Roman"/>
        </w:rPr>
        <w:t>“</w:t>
      </w:r>
      <w:r w:rsidRPr="00A260ED">
        <w:rPr>
          <w:rFonts w:ascii="Times New Roman" w:eastAsia="MS Mincho" w:hAnsi="Times New Roman"/>
        </w:rPr>
        <w:t>Dosage</w:t>
      </w:r>
      <w:r w:rsidRPr="00A260ED">
        <w:rPr>
          <w:rFonts w:ascii="Times New Roman" w:hAnsi="Times New Roman"/>
        </w:rPr>
        <w:t>/Administration”.</w:t>
      </w:r>
      <w:r w:rsidRPr="00A260ED">
        <w:rPr>
          <w:rFonts w:ascii="Times New Roman" w:eastAsia="MS Mincho" w:hAnsi="Times New Roman"/>
        </w:rPr>
        <w:t xml:space="preserve"> All patients considered at risk should be carefully monitored during the initial days of treatment with a special focus on renal function and potassium and uric acid levels. All additional institutional practice guidelines should also be followed.</w:t>
      </w:r>
    </w:p>
    <w:p w14:paraId="69107B8A"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rPr>
        <w:t>For treatment of TLS, correct electrolyte abnormalities, monitor renal function and fluid balance, and initiate supportive measures, including dialysis, as indicated.</w:t>
      </w:r>
    </w:p>
    <w:p w14:paraId="38603A0B" w14:textId="77777777" w:rsidR="00B6112F" w:rsidRPr="00A260ED" w:rsidRDefault="00B6112F" w:rsidP="00EB2A24">
      <w:pPr>
        <w:pStyle w:val="Heading4"/>
        <w:numPr>
          <w:ilvl w:val="0"/>
          <w:numId w:val="0"/>
        </w:numPr>
        <w:ind w:left="1134" w:hanging="1134"/>
        <w:rPr>
          <w:rFonts w:ascii="Times New Roman" w:eastAsia="MS Mincho" w:hAnsi="Times New Roman"/>
          <w:b w:val="0"/>
          <w:sz w:val="22"/>
          <w:lang w:val="en-GB"/>
        </w:rPr>
      </w:pPr>
      <w:r w:rsidRPr="00A260ED">
        <w:rPr>
          <w:rFonts w:ascii="Times New Roman" w:eastAsia="MS Mincho" w:hAnsi="Times New Roman"/>
          <w:sz w:val="22"/>
          <w:lang w:val="en-GB"/>
        </w:rPr>
        <w:t>Neutropenia</w:t>
      </w:r>
    </w:p>
    <w:p w14:paraId="5E9F9AD3" w14:textId="5771B352" w:rsidR="00B6112F" w:rsidRPr="00A260ED" w:rsidRDefault="00B6112F">
      <w:pPr>
        <w:pStyle w:val="J1"/>
        <w:rPr>
          <w:rFonts w:ascii="Times New Roman" w:hAnsi="Times New Roman"/>
        </w:rPr>
      </w:pPr>
      <w:r w:rsidRPr="00A260ED">
        <w:rPr>
          <w:rFonts w:ascii="Times New Roman" w:hAnsi="Times New Roman"/>
        </w:rPr>
        <w:t xml:space="preserve">Severe and life-threatening neutropenia, including febrile neutropenia, has been reported during treatment with </w:t>
      </w:r>
      <w:r w:rsidR="007F720C">
        <w:rPr>
          <w:rFonts w:ascii="Times New Roman" w:hAnsi="Times New Roman"/>
        </w:rPr>
        <w:t>Gazyvaro</w:t>
      </w:r>
      <w:r w:rsidRPr="00A260ED">
        <w:rPr>
          <w:rFonts w:ascii="Times New Roman" w:hAnsi="Times New Roman"/>
        </w:rPr>
        <w:t>. Patients who experience neutropenia should be closely monitored with laboratory tests until resolution. If treatment is necessary, it should be administered in accordance with local guidelines and administration of granulocyte colony-stimulating factors (G</w:t>
      </w:r>
      <w:r w:rsidRPr="00A260ED">
        <w:rPr>
          <w:rFonts w:ascii="Times New Roman" w:hAnsi="Times New Roman"/>
        </w:rPr>
        <w:noBreakHyphen/>
        <w:t>CSF) should be considered. Any signs of concomitant infection should be treated as appropriate. Late-onset neutropenia (occurring 28 days after the end of treatment) or prolonged neutropenia (lasting more than 28 days after treatment has been completed/stopped) may occur.</w:t>
      </w:r>
    </w:p>
    <w:p w14:paraId="2C0380E5" w14:textId="77777777" w:rsidR="00B6112F" w:rsidRPr="00A260ED" w:rsidRDefault="00B6112F" w:rsidP="00EB2A24">
      <w:pPr>
        <w:pStyle w:val="Heading4"/>
        <w:numPr>
          <w:ilvl w:val="0"/>
          <w:numId w:val="0"/>
        </w:numPr>
        <w:ind w:left="1134" w:hanging="1134"/>
        <w:rPr>
          <w:rFonts w:ascii="Times New Roman" w:eastAsia="MS Mincho" w:hAnsi="Times New Roman"/>
          <w:sz w:val="22"/>
          <w:lang w:val="en-GB"/>
        </w:rPr>
      </w:pPr>
      <w:r w:rsidRPr="00A260ED">
        <w:rPr>
          <w:rFonts w:ascii="Times New Roman" w:eastAsia="MS Mincho" w:hAnsi="Times New Roman"/>
          <w:sz w:val="22"/>
          <w:lang w:val="en-GB"/>
        </w:rPr>
        <w:t>Thrombocytopenia</w:t>
      </w:r>
    </w:p>
    <w:p w14:paraId="1D74AEC7" w14:textId="5615E673"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Severe and life-threatening thrombocytopenia, including acute thrombocytopenia (occurring within 24 hours after the infusion), has been observed during treatment with </w:t>
      </w:r>
      <w:r w:rsidR="007F720C">
        <w:rPr>
          <w:rFonts w:ascii="Times New Roman" w:eastAsia="MS Mincho" w:hAnsi="Times New Roman"/>
        </w:rPr>
        <w:t>Gazyvaro</w:t>
      </w:r>
      <w:r w:rsidRPr="00A260ED">
        <w:rPr>
          <w:rFonts w:ascii="Times New Roman" w:eastAsia="MS Mincho" w:hAnsi="Times New Roman"/>
        </w:rPr>
        <w:t>.</w:t>
      </w:r>
    </w:p>
    <w:p w14:paraId="2061DD1D" w14:textId="4BA50E3D"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Fatal </w:t>
      </w:r>
      <w:r w:rsidRPr="00A260ED">
        <w:rPr>
          <w:rFonts w:ascii="Times New Roman" w:hAnsi="Times New Roman"/>
        </w:rPr>
        <w:t>haemorrhagic</w:t>
      </w:r>
      <w:r w:rsidRPr="00A260ED">
        <w:rPr>
          <w:rFonts w:ascii="Times New Roman" w:eastAsia="MS Mincho" w:hAnsi="Times New Roman"/>
        </w:rPr>
        <w:t xml:space="preserve"> events have also occurred in cycle 1 during treatment with </w:t>
      </w:r>
      <w:r w:rsidR="007F720C">
        <w:rPr>
          <w:rFonts w:ascii="Times New Roman" w:eastAsia="MS Mincho" w:hAnsi="Times New Roman"/>
        </w:rPr>
        <w:t>Gazyvaro</w:t>
      </w:r>
      <w:r w:rsidRPr="00A260ED">
        <w:rPr>
          <w:rFonts w:ascii="Times New Roman" w:eastAsia="MS Mincho" w:hAnsi="Times New Roman"/>
        </w:rPr>
        <w:t>.</w:t>
      </w:r>
    </w:p>
    <w:p w14:paraId="656C6CB0"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rPr>
        <w:lastRenderedPageBreak/>
        <w:t>Patients should be closely monitored for thrombocytopenia, especially during the first cycle; regular laboratory tests should be performed until the event resolves, and dose delays should be considered in case of severe or life-threatening thrombocytopenia. Transfusion of blood products (i.e. platelet transfusion) according to institutional practice is at the discretion of the treating physician. The benefit-risk balance of any concomitant therapies that could possibly worsen thrombocytopenia-related events, such as platelet inhibitors and anticoagulants, should also be carefully considered, especially during the first cycle.</w:t>
      </w:r>
    </w:p>
    <w:p w14:paraId="0B927CE6" w14:textId="77777777" w:rsidR="00B6112F" w:rsidRPr="00A260ED" w:rsidRDefault="00B6112F" w:rsidP="00EB2A24">
      <w:pPr>
        <w:pStyle w:val="Heading4"/>
        <w:numPr>
          <w:ilvl w:val="0"/>
          <w:numId w:val="0"/>
        </w:numPr>
        <w:ind w:left="1134" w:hanging="1134"/>
        <w:rPr>
          <w:rFonts w:ascii="Times New Roman" w:eastAsia="MS Mincho" w:hAnsi="Times New Roman"/>
          <w:b w:val="0"/>
          <w:sz w:val="22"/>
          <w:lang w:val="en-GB"/>
        </w:rPr>
      </w:pPr>
      <w:r w:rsidRPr="00A260ED">
        <w:rPr>
          <w:rFonts w:ascii="Times New Roman" w:eastAsia="MS Mincho" w:hAnsi="Times New Roman"/>
          <w:sz w:val="22"/>
          <w:lang w:val="en-GB"/>
        </w:rPr>
        <w:t>Worsening of pre-existing cardiac conditions</w:t>
      </w:r>
    </w:p>
    <w:p w14:paraId="0DCE38AF" w14:textId="671C5C23"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In patients with underlying cardiac disease, arrhythmias (such as atrial fibrillation and tachyarrhythmia), angina pectoris, acute coronary syndrome, myocardial infarction and heart failure have occurred during treatment with </w:t>
      </w:r>
      <w:r w:rsidR="007F720C">
        <w:rPr>
          <w:rFonts w:ascii="Times New Roman" w:eastAsia="MS Mincho" w:hAnsi="Times New Roman"/>
        </w:rPr>
        <w:t>Gazyvaro</w:t>
      </w:r>
      <w:r w:rsidRPr="00A260ED">
        <w:rPr>
          <w:rFonts w:ascii="Times New Roman" w:eastAsia="MS Mincho" w:hAnsi="Times New Roman"/>
        </w:rPr>
        <w:t>. These events may occur as part of an infusion reaction and can be fatal. Therefore patients with a history of cardiac disease should be monitored closely. In addition these patients should be hydrated with caution in order to prevent potential fluid overload.</w:t>
      </w:r>
    </w:p>
    <w:p w14:paraId="3B613CBC" w14:textId="77777777" w:rsidR="00B6112F" w:rsidRPr="00A260ED" w:rsidRDefault="00B6112F" w:rsidP="00EB2A24">
      <w:pPr>
        <w:pStyle w:val="Heading4"/>
        <w:numPr>
          <w:ilvl w:val="0"/>
          <w:numId w:val="0"/>
        </w:numPr>
        <w:ind w:left="1134" w:hanging="1134"/>
        <w:rPr>
          <w:rFonts w:ascii="Times New Roman" w:eastAsia="MS Mincho" w:hAnsi="Times New Roman"/>
          <w:b w:val="0"/>
          <w:sz w:val="22"/>
          <w:lang w:val="en-GB"/>
        </w:rPr>
      </w:pPr>
      <w:r w:rsidRPr="00A260ED">
        <w:rPr>
          <w:rFonts w:ascii="Times New Roman" w:eastAsia="MS Mincho" w:hAnsi="Times New Roman"/>
          <w:sz w:val="22"/>
          <w:lang w:val="en-GB"/>
        </w:rPr>
        <w:t>Infections</w:t>
      </w:r>
    </w:p>
    <w:p w14:paraId="1C63C3C1" w14:textId="67AE0B40" w:rsidR="00B6112F" w:rsidRPr="00A260ED" w:rsidRDefault="007F720C" w:rsidP="00EB2A24">
      <w:pPr>
        <w:pStyle w:val="J1"/>
        <w:rPr>
          <w:rFonts w:ascii="Times New Roman" w:eastAsia="MS Mincho" w:hAnsi="Times New Roman"/>
        </w:rPr>
      </w:pPr>
      <w:r>
        <w:rPr>
          <w:rFonts w:ascii="Times New Roman" w:eastAsia="MS Mincho" w:hAnsi="Times New Roman"/>
        </w:rPr>
        <w:t>Gazyvaro</w:t>
      </w:r>
      <w:r w:rsidR="00B6112F" w:rsidRPr="00A260ED">
        <w:rPr>
          <w:rFonts w:ascii="Times New Roman" w:eastAsia="MS Mincho" w:hAnsi="Times New Roman"/>
        </w:rPr>
        <w:t xml:space="preserve"> should not be administered in the presence of an active infection. Caution should be exercised when considering the use of </w:t>
      </w:r>
      <w:r>
        <w:rPr>
          <w:rFonts w:ascii="Times New Roman" w:eastAsia="MS Mincho" w:hAnsi="Times New Roman"/>
        </w:rPr>
        <w:t>Gazyvaro</w:t>
      </w:r>
      <w:r w:rsidR="00B6112F" w:rsidRPr="00A260ED">
        <w:rPr>
          <w:rFonts w:ascii="Times New Roman" w:eastAsia="MS Mincho" w:hAnsi="Times New Roman"/>
        </w:rPr>
        <w:t xml:space="preserve"> in patients with a history of recurring or chronic infections. Serious bacterial, fungal and new or reactivated viral infections can occur during and following the completion of </w:t>
      </w:r>
      <w:r>
        <w:rPr>
          <w:rFonts w:ascii="Times New Roman" w:eastAsia="MS Mincho" w:hAnsi="Times New Roman"/>
        </w:rPr>
        <w:t>Gazyvaro</w:t>
      </w:r>
      <w:r w:rsidR="00B6112F" w:rsidRPr="00A260ED">
        <w:rPr>
          <w:rFonts w:ascii="Times New Roman" w:eastAsia="MS Mincho" w:hAnsi="Times New Roman"/>
        </w:rPr>
        <w:t xml:space="preserve"> therapy. Fatal infections have been reported.</w:t>
      </w:r>
    </w:p>
    <w:p w14:paraId="3A597338" w14:textId="62BA28E7" w:rsidR="00B6112F" w:rsidRPr="00A260ED" w:rsidRDefault="00B6112F">
      <w:pPr>
        <w:pStyle w:val="J1"/>
        <w:rPr>
          <w:rFonts w:ascii="Times New Roman" w:hAnsi="Times New Roman"/>
        </w:rPr>
      </w:pPr>
      <w:r w:rsidRPr="00A260ED">
        <w:rPr>
          <w:rFonts w:ascii="Times New Roman" w:hAnsi="Times New Roman"/>
        </w:rPr>
        <w:t>In the FL studies, a high incidence of infections was observed in every phase of treatment, including follow-up, with the highest incidence seen during maintenance therapy. In the follow-up phase, grade 3</w:t>
      </w:r>
      <w:r w:rsidRPr="00A260ED">
        <w:rPr>
          <w:rFonts w:ascii="Times New Roman" w:hAnsi="Times New Roman"/>
        </w:rPr>
        <w:noBreakHyphen/>
        <w:t xml:space="preserve">5 infections were observed more often in patients who had received </w:t>
      </w:r>
      <w:r w:rsidR="007F720C">
        <w:rPr>
          <w:rFonts w:ascii="Times New Roman" w:hAnsi="Times New Roman"/>
        </w:rPr>
        <w:t>Gazyvaro</w:t>
      </w:r>
      <w:r w:rsidRPr="00A260ED">
        <w:rPr>
          <w:rFonts w:ascii="Times New Roman" w:hAnsi="Times New Roman"/>
        </w:rPr>
        <w:t xml:space="preserve"> plus bendamustine in the induction phase.</w:t>
      </w:r>
    </w:p>
    <w:p w14:paraId="14A5F65A" w14:textId="5713557C"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Patients with severe viral infections should not be treated with </w:t>
      </w:r>
      <w:r w:rsidR="007F720C">
        <w:rPr>
          <w:rFonts w:ascii="Times New Roman" w:eastAsia="MS Mincho" w:hAnsi="Times New Roman"/>
        </w:rPr>
        <w:t>Gazyvaro</w:t>
      </w:r>
      <w:r w:rsidRPr="00A260ED">
        <w:rPr>
          <w:rFonts w:ascii="Times New Roman" w:eastAsia="MS Mincho" w:hAnsi="Times New Roman"/>
        </w:rPr>
        <w:t xml:space="preserve">. Severe viral infections, both new and reactivated or exacerbated, have been reported on treatment with anti-CD20 antibodies and have been fatal in isolated cases. Examples of such severe viral infections include infections with herpesviruses (cytomegaly, herpes zoster, </w:t>
      </w:r>
      <w:proofErr w:type="gramStart"/>
      <w:r w:rsidRPr="00A260ED">
        <w:rPr>
          <w:rFonts w:ascii="Times New Roman" w:eastAsia="MS Mincho" w:hAnsi="Times New Roman"/>
        </w:rPr>
        <w:t>herpes</w:t>
      </w:r>
      <w:proofErr w:type="gramEnd"/>
      <w:r w:rsidRPr="00A260ED">
        <w:rPr>
          <w:rFonts w:ascii="Times New Roman" w:eastAsia="MS Mincho" w:hAnsi="Times New Roman"/>
        </w:rPr>
        <w:t xml:space="preserve"> simplex), JC virus (progressive multifocal leukoencephalopathy [PML]) and hepatitis B or hepatitis C virus.</w:t>
      </w:r>
    </w:p>
    <w:p w14:paraId="3DE8875A" w14:textId="77777777" w:rsidR="00B6112F" w:rsidRPr="00A260ED" w:rsidRDefault="00B6112F" w:rsidP="00EB2A24">
      <w:pPr>
        <w:pStyle w:val="Heading4"/>
        <w:numPr>
          <w:ilvl w:val="0"/>
          <w:numId w:val="0"/>
        </w:numPr>
        <w:ind w:left="1134" w:hanging="1134"/>
        <w:rPr>
          <w:rFonts w:ascii="Times New Roman" w:eastAsia="MS Mincho" w:hAnsi="Times New Roman"/>
          <w:b w:val="0"/>
          <w:sz w:val="22"/>
          <w:lang w:val="en-GB"/>
        </w:rPr>
      </w:pPr>
      <w:r w:rsidRPr="00A260ED">
        <w:rPr>
          <w:rFonts w:ascii="Times New Roman" w:eastAsia="MS Mincho" w:hAnsi="Times New Roman"/>
          <w:sz w:val="22"/>
          <w:lang w:val="en-GB"/>
        </w:rPr>
        <w:t>Hepatitis B reactivation</w:t>
      </w:r>
    </w:p>
    <w:p w14:paraId="1C9D6B6D" w14:textId="562068CA"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Hepatitis B virus (HBV) reactivation, in some cases resulting in fulminant hepatitis, hepatic failure and death, can occur in patients treated with anti-CD20 antibodies including </w:t>
      </w:r>
      <w:r w:rsidR="007F720C">
        <w:rPr>
          <w:rFonts w:ascii="Times New Roman" w:eastAsia="MS Mincho" w:hAnsi="Times New Roman"/>
        </w:rPr>
        <w:t>Gazyvaro</w:t>
      </w:r>
      <w:r w:rsidRPr="00A260ED">
        <w:rPr>
          <w:rFonts w:ascii="Times New Roman" w:eastAsia="MS Mincho" w:hAnsi="Times New Roman"/>
        </w:rPr>
        <w:t xml:space="preserve"> (see </w:t>
      </w:r>
      <w:r w:rsidRPr="00A260ED">
        <w:rPr>
          <w:rFonts w:ascii="Times New Roman" w:hAnsi="Times New Roman"/>
        </w:rPr>
        <w:t>“</w:t>
      </w:r>
      <w:r w:rsidRPr="00A260ED">
        <w:rPr>
          <w:rFonts w:ascii="Times New Roman" w:eastAsia="MS Mincho" w:hAnsi="Times New Roman"/>
        </w:rPr>
        <w:t>Undesirable effects</w:t>
      </w:r>
      <w:r w:rsidRPr="00A260ED">
        <w:rPr>
          <w:rFonts w:ascii="Times New Roman" w:hAnsi="Times New Roman"/>
        </w:rPr>
        <w:t>”).</w:t>
      </w:r>
      <w:r w:rsidRPr="00A260ED">
        <w:rPr>
          <w:rFonts w:ascii="Times New Roman" w:eastAsia="MS Mincho" w:hAnsi="Times New Roman"/>
        </w:rPr>
        <w:t xml:space="preserve"> HBV screening should be performed in all patients before initiation of treatment with </w:t>
      </w:r>
      <w:r w:rsidR="007F720C">
        <w:rPr>
          <w:rFonts w:ascii="Times New Roman" w:eastAsia="MS Mincho" w:hAnsi="Times New Roman"/>
        </w:rPr>
        <w:t>Gazyvaro</w:t>
      </w:r>
      <w:r w:rsidRPr="00A260ED">
        <w:rPr>
          <w:rFonts w:ascii="Times New Roman" w:eastAsia="MS Mincho" w:hAnsi="Times New Roman"/>
        </w:rPr>
        <w:t xml:space="preserve">. At minimum this should include determination of HBsAg and anti-HBc, which can be complemented with other markers. Patients with active hepatitis B should not be treated with </w:t>
      </w:r>
      <w:r w:rsidR="007F720C">
        <w:rPr>
          <w:rFonts w:ascii="Times New Roman" w:eastAsia="MS Mincho" w:hAnsi="Times New Roman"/>
        </w:rPr>
        <w:t>Gazyvaro</w:t>
      </w:r>
      <w:r w:rsidRPr="00A260ED">
        <w:rPr>
          <w:rFonts w:ascii="Times New Roman" w:eastAsia="MS Mincho" w:hAnsi="Times New Roman"/>
        </w:rPr>
        <w:t>. Patients with positive hepatitis B serology should consult a hepatologist before starting treatment. HBV reactivation has been reported in hepatitis B surface antigen-positive (HBsAg-positive) patients, as well as in HBsAg-negative and anti-HBs-positive patients.</w:t>
      </w:r>
    </w:p>
    <w:p w14:paraId="5E2F055E" w14:textId="69A39A16"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Patients with existing or previous HBV infection should be observed for clinical symptoms or laboratory findings indicative of hepatitis or HBV reactivation during and for at least 12 months after treatment with </w:t>
      </w:r>
      <w:r w:rsidR="007F720C">
        <w:rPr>
          <w:rFonts w:ascii="Times New Roman" w:eastAsia="MS Mincho" w:hAnsi="Times New Roman"/>
        </w:rPr>
        <w:t>Gazyvaro</w:t>
      </w:r>
      <w:r w:rsidRPr="00A260ED">
        <w:rPr>
          <w:rFonts w:ascii="Times New Roman" w:eastAsia="MS Mincho" w:hAnsi="Times New Roman"/>
        </w:rPr>
        <w:t xml:space="preserve">. </w:t>
      </w:r>
      <w:r w:rsidR="007F720C">
        <w:rPr>
          <w:rFonts w:ascii="Times New Roman" w:eastAsia="MS Mincho" w:hAnsi="Times New Roman"/>
        </w:rPr>
        <w:t>Gazyvaro</w:t>
      </w:r>
      <w:r w:rsidRPr="00A260ED">
        <w:rPr>
          <w:rFonts w:ascii="Times New Roman" w:eastAsia="MS Mincho" w:hAnsi="Times New Roman"/>
        </w:rPr>
        <w:t xml:space="preserve"> must be discontinued immediately in the event of hepatitis B reactivation. Resumption of treatment should be discussed with a physician experienced in the treatment of hepatitis</w:t>
      </w:r>
      <w:r w:rsidRPr="00A260ED">
        <w:rPr>
          <w:rFonts w:ascii="Times New Roman" w:hAnsi="Times New Roman"/>
        </w:rPr>
        <w:t> </w:t>
      </w:r>
      <w:r w:rsidRPr="00A260ED">
        <w:rPr>
          <w:rFonts w:ascii="Times New Roman" w:eastAsia="MS Mincho" w:hAnsi="Times New Roman"/>
        </w:rPr>
        <w:t xml:space="preserve">B. No data are available on the safety of treatment resumption with </w:t>
      </w:r>
      <w:r w:rsidR="007F720C">
        <w:rPr>
          <w:rFonts w:ascii="Times New Roman" w:eastAsia="MS Mincho" w:hAnsi="Times New Roman"/>
        </w:rPr>
        <w:t>Gazyvaro</w:t>
      </w:r>
      <w:r w:rsidRPr="00A260ED">
        <w:rPr>
          <w:rFonts w:ascii="Times New Roman" w:eastAsia="MS Mincho" w:hAnsi="Times New Roman"/>
        </w:rPr>
        <w:t xml:space="preserve"> in patients with reactivated hepatitis B.</w:t>
      </w:r>
    </w:p>
    <w:p w14:paraId="4CEDE002" w14:textId="77777777" w:rsidR="00B6112F" w:rsidRPr="00A260ED" w:rsidRDefault="00B6112F" w:rsidP="00EB2A24">
      <w:pPr>
        <w:pStyle w:val="Heading4"/>
        <w:numPr>
          <w:ilvl w:val="0"/>
          <w:numId w:val="0"/>
        </w:numPr>
        <w:ind w:left="1134" w:hanging="1134"/>
        <w:rPr>
          <w:rFonts w:ascii="Times New Roman" w:eastAsia="MS Mincho" w:hAnsi="Times New Roman"/>
          <w:b w:val="0"/>
          <w:sz w:val="22"/>
          <w:lang w:val="en-GB"/>
        </w:rPr>
      </w:pPr>
      <w:r w:rsidRPr="00A260ED">
        <w:rPr>
          <w:rFonts w:ascii="Times New Roman" w:eastAsia="MS Mincho" w:hAnsi="Times New Roman"/>
          <w:sz w:val="22"/>
          <w:lang w:val="en-GB"/>
        </w:rPr>
        <w:t>Progressive multifocal leukoencephalopathy (PML)</w:t>
      </w:r>
    </w:p>
    <w:p w14:paraId="5CB7860A" w14:textId="76D34ADB"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Cases of PML have been reported. The diagnosis of PML should be considered in any patient with new-onset or changes to pre-existing neurological manifestations. The symptoms of PML are unspecific and can vary depending on the affected region of the brain. Motor symptoms with corticospinal tract findings (e.g. muscular weakness, paralysis and sensory disturbances), sensory abnormalities, cerebellar symptoms and visual field defects are common. Some signs/symptoms regarded as “cortical” (e.g. aphasia or visual-spatial disorientation) may also occur. Evaluation of PML includes, but is not limited to, consultation with a neurologist, brain magnetic resonance imaging (MRI) and lumbar puncture (CSF testing for JC viral DNA). </w:t>
      </w:r>
      <w:r w:rsidRPr="00A260ED">
        <w:rPr>
          <w:rFonts w:ascii="Times New Roman" w:eastAsia="MS Mincho" w:hAnsi="Times New Roman"/>
        </w:rPr>
        <w:lastRenderedPageBreak/>
        <w:t xml:space="preserve">Therapy with </w:t>
      </w:r>
      <w:r w:rsidR="007F720C">
        <w:rPr>
          <w:rFonts w:ascii="Times New Roman" w:eastAsia="MS Mincho" w:hAnsi="Times New Roman"/>
        </w:rPr>
        <w:t>Gazyvaro</w:t>
      </w:r>
      <w:r w:rsidRPr="00A260ED">
        <w:rPr>
          <w:rFonts w:ascii="Times New Roman" w:eastAsia="MS Mincho" w:hAnsi="Times New Roman"/>
        </w:rPr>
        <w:t xml:space="preserve"> should be withheld during the investigation of potential PML and permanently discontinued in case of confirmed PML. Discontinuation or reduction of any concomitant chemotherapy or immunosuppressive therapy should also be considered. The patient should be referred to a neurologist for the evaluation and treatment of PML.</w:t>
      </w:r>
    </w:p>
    <w:p w14:paraId="079E1B42" w14:textId="77777777" w:rsidR="00B6112F" w:rsidRPr="00A260ED" w:rsidRDefault="00B6112F" w:rsidP="00EB2A24">
      <w:pPr>
        <w:pStyle w:val="Heading4"/>
        <w:numPr>
          <w:ilvl w:val="0"/>
          <w:numId w:val="0"/>
        </w:numPr>
        <w:ind w:left="1134" w:hanging="1134"/>
        <w:rPr>
          <w:rFonts w:ascii="Times New Roman" w:eastAsia="MS Mincho" w:hAnsi="Times New Roman"/>
          <w:b w:val="0"/>
          <w:sz w:val="22"/>
          <w:lang w:val="en-GB"/>
        </w:rPr>
      </w:pPr>
      <w:r w:rsidRPr="00A260ED">
        <w:rPr>
          <w:rFonts w:ascii="Times New Roman" w:eastAsia="MS Mincho" w:hAnsi="Times New Roman"/>
          <w:sz w:val="22"/>
          <w:lang w:val="en-GB"/>
        </w:rPr>
        <w:t>Immunisation</w:t>
      </w:r>
    </w:p>
    <w:p w14:paraId="57885C7C" w14:textId="478A0F84"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The safety of immunisation with live or attenuated viral vaccines following </w:t>
      </w:r>
      <w:r w:rsidR="007F720C">
        <w:rPr>
          <w:rFonts w:ascii="Times New Roman" w:eastAsia="MS Mincho" w:hAnsi="Times New Roman"/>
        </w:rPr>
        <w:t>Gazyvaro</w:t>
      </w:r>
      <w:r w:rsidRPr="00A260ED">
        <w:rPr>
          <w:rFonts w:ascii="Times New Roman" w:eastAsia="MS Mincho" w:hAnsi="Times New Roman"/>
        </w:rPr>
        <w:t xml:space="preserve"> therapy has not been studied. Vaccination with live virus vaccines is not recommended during treatment and until B</w:t>
      </w:r>
      <w:r w:rsidRPr="00A260ED">
        <w:rPr>
          <w:rFonts w:ascii="Times New Roman" w:hAnsi="Times New Roman"/>
        </w:rPr>
        <w:t> </w:t>
      </w:r>
      <w:r w:rsidRPr="00A260ED">
        <w:rPr>
          <w:rFonts w:ascii="Times New Roman" w:eastAsia="MS Mincho" w:hAnsi="Times New Roman"/>
        </w:rPr>
        <w:t>cell recovery.</w:t>
      </w:r>
    </w:p>
    <w:p w14:paraId="2550F304" w14:textId="19FC838C" w:rsidR="00B6112F" w:rsidRPr="00A260ED" w:rsidRDefault="00B6112F" w:rsidP="00EB2A24">
      <w:pPr>
        <w:pStyle w:val="Heading4"/>
        <w:numPr>
          <w:ilvl w:val="0"/>
          <w:numId w:val="0"/>
        </w:numPr>
        <w:ind w:left="1134" w:hanging="1134"/>
        <w:rPr>
          <w:rFonts w:ascii="Times New Roman" w:eastAsia="MS Mincho" w:hAnsi="Times New Roman"/>
          <w:b w:val="0"/>
          <w:sz w:val="22"/>
          <w:lang w:val="en-GB"/>
        </w:rPr>
      </w:pPr>
      <w:r w:rsidRPr="00A260ED">
        <w:rPr>
          <w:rFonts w:ascii="Times New Roman" w:eastAsia="MS Mincho" w:hAnsi="Times New Roman"/>
          <w:sz w:val="22"/>
          <w:lang w:val="en-GB"/>
        </w:rPr>
        <w:t xml:space="preserve">Intrauterine exposure to </w:t>
      </w:r>
      <w:r w:rsidR="007F720C">
        <w:rPr>
          <w:rFonts w:ascii="Times New Roman" w:eastAsia="MS Mincho" w:hAnsi="Times New Roman"/>
          <w:sz w:val="22"/>
          <w:lang w:val="en-GB"/>
        </w:rPr>
        <w:t>Gazyvaro</w:t>
      </w:r>
      <w:r w:rsidRPr="00A260ED">
        <w:rPr>
          <w:rFonts w:ascii="Times New Roman" w:eastAsia="MS Mincho" w:hAnsi="Times New Roman"/>
          <w:sz w:val="22"/>
          <w:lang w:val="en-GB"/>
        </w:rPr>
        <w:t xml:space="preserve"> and vaccination of newborns with live virus vaccines</w:t>
      </w:r>
    </w:p>
    <w:p w14:paraId="2D879E7F" w14:textId="3C4EA854" w:rsidR="00B6112F" w:rsidRPr="00A260ED" w:rsidRDefault="00B6112F" w:rsidP="00EB2A24">
      <w:pPr>
        <w:pStyle w:val="J1"/>
        <w:rPr>
          <w:rFonts w:ascii="Times New Roman" w:eastAsia="MS Mincho" w:hAnsi="Times New Roman"/>
        </w:rPr>
      </w:pPr>
      <w:r w:rsidRPr="00A260ED">
        <w:rPr>
          <w:rFonts w:ascii="Times New Roman" w:eastAsia="MS Mincho" w:hAnsi="Times New Roman"/>
        </w:rPr>
        <w:t>Due to the potential for B</w:t>
      </w:r>
      <w:r w:rsidRPr="00A260ED">
        <w:rPr>
          <w:rFonts w:ascii="Times New Roman" w:hAnsi="Times New Roman"/>
        </w:rPr>
        <w:t> </w:t>
      </w:r>
      <w:r w:rsidRPr="00A260ED">
        <w:rPr>
          <w:rFonts w:ascii="Times New Roman" w:eastAsia="MS Mincho" w:hAnsi="Times New Roman"/>
        </w:rPr>
        <w:t xml:space="preserve">cell depletion in newborns whose mothers have been exposed to </w:t>
      </w:r>
      <w:r w:rsidR="007F720C">
        <w:rPr>
          <w:rFonts w:ascii="Times New Roman" w:eastAsia="MS Mincho" w:hAnsi="Times New Roman"/>
        </w:rPr>
        <w:t>Gazyvaro</w:t>
      </w:r>
      <w:r w:rsidRPr="00A260ED">
        <w:rPr>
          <w:rFonts w:ascii="Times New Roman" w:eastAsia="MS Mincho" w:hAnsi="Times New Roman"/>
        </w:rPr>
        <w:t xml:space="preserve"> during pregnancy, the safety and timing of vaccinations with live virus vaccines should be discussed with the </w:t>
      </w:r>
      <w:r w:rsidRPr="00A260ED">
        <w:rPr>
          <w:rFonts w:ascii="Times New Roman" w:hAnsi="Times New Roman"/>
        </w:rPr>
        <w:t>paediatrician.</w:t>
      </w:r>
      <w:r w:rsidRPr="00A260ED">
        <w:rPr>
          <w:rFonts w:ascii="Times New Roman" w:eastAsia="MS Mincho" w:hAnsi="Times New Roman"/>
        </w:rPr>
        <w:t xml:space="preserve"> In newborns of mothers exposed to </w:t>
      </w:r>
      <w:r w:rsidR="007F720C">
        <w:rPr>
          <w:rFonts w:ascii="Times New Roman" w:eastAsia="MS Mincho" w:hAnsi="Times New Roman"/>
        </w:rPr>
        <w:t>Gazyvaro</w:t>
      </w:r>
      <w:r w:rsidRPr="00A260ED">
        <w:rPr>
          <w:rFonts w:ascii="Times New Roman" w:eastAsia="MS Mincho" w:hAnsi="Times New Roman"/>
        </w:rPr>
        <w:t xml:space="preserve"> during pregnancy, consider postponing vaccinations with live virus vaccines until B</w:t>
      </w:r>
      <w:r w:rsidRPr="00A260ED">
        <w:rPr>
          <w:rFonts w:ascii="Times New Roman" w:hAnsi="Times New Roman"/>
        </w:rPr>
        <w:t> </w:t>
      </w:r>
      <w:r w:rsidRPr="00A260ED">
        <w:rPr>
          <w:rFonts w:ascii="Times New Roman" w:eastAsia="MS Mincho" w:hAnsi="Times New Roman"/>
        </w:rPr>
        <w:t>cell counts are within the normal range.</w:t>
      </w:r>
    </w:p>
    <w:p w14:paraId="46D830E6" w14:textId="77777777" w:rsidR="00B6112F" w:rsidRPr="00A260ED" w:rsidRDefault="00B6112F" w:rsidP="00EB2A24">
      <w:pPr>
        <w:pStyle w:val="Heading1"/>
        <w:numPr>
          <w:ilvl w:val="0"/>
          <w:numId w:val="0"/>
        </w:numPr>
        <w:ind w:left="1134" w:hanging="1134"/>
        <w:rPr>
          <w:rFonts w:ascii="Times New Roman" w:hAnsi="Times New Roman"/>
          <w:sz w:val="22"/>
        </w:rPr>
      </w:pPr>
      <w:r w:rsidRPr="00A260ED">
        <w:rPr>
          <w:rFonts w:ascii="Times New Roman" w:hAnsi="Times New Roman"/>
          <w:sz w:val="22"/>
        </w:rPr>
        <w:t>Interactions</w:t>
      </w:r>
    </w:p>
    <w:p w14:paraId="6ED8BB52" w14:textId="462729E9"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No drug-drug interaction studies have been performed, although substudies have been undertaken to a limited extent on drug interactions between </w:t>
      </w:r>
      <w:r w:rsidR="007F720C">
        <w:rPr>
          <w:rFonts w:ascii="Times New Roman" w:eastAsia="MS Mincho" w:hAnsi="Times New Roman"/>
        </w:rPr>
        <w:t>Gazyvaro</w:t>
      </w:r>
      <w:r w:rsidRPr="00A260ED">
        <w:rPr>
          <w:rFonts w:ascii="Times New Roman" w:eastAsia="MS Mincho" w:hAnsi="Times New Roman"/>
        </w:rPr>
        <w:t xml:space="preserve"> and bendamustine and chlorambucil. Coadministration of </w:t>
      </w:r>
      <w:r w:rsidR="007F720C">
        <w:rPr>
          <w:rFonts w:ascii="Times New Roman" w:eastAsia="MS Mincho" w:hAnsi="Times New Roman"/>
        </w:rPr>
        <w:t>Gazyvaro</w:t>
      </w:r>
      <w:r w:rsidRPr="00A260ED">
        <w:rPr>
          <w:rFonts w:ascii="Times New Roman" w:eastAsia="MS Mincho" w:hAnsi="Times New Roman"/>
        </w:rPr>
        <w:t xml:space="preserve"> did not affect the pharmacokinetics of bendamustine. There were likewise no discernible effects of bendamustine or chlorambucil on </w:t>
      </w:r>
      <w:r w:rsidR="007F720C">
        <w:rPr>
          <w:rFonts w:ascii="Times New Roman" w:eastAsia="MS Mincho" w:hAnsi="Times New Roman"/>
        </w:rPr>
        <w:t>Gazyvaro</w:t>
      </w:r>
      <w:r w:rsidRPr="00A260ED">
        <w:rPr>
          <w:rFonts w:ascii="Times New Roman" w:eastAsia="MS Mincho" w:hAnsi="Times New Roman"/>
        </w:rPr>
        <w:t xml:space="preserve"> pharmacokinetics. A risk of interactions with concomitantly used medicinal products cannot be excluded.</w:t>
      </w:r>
    </w:p>
    <w:p w14:paraId="0B973BD8" w14:textId="77777777" w:rsidR="00B6112F" w:rsidRPr="00A260ED" w:rsidRDefault="00B6112F" w:rsidP="00EB2A24">
      <w:pPr>
        <w:pStyle w:val="Heading1"/>
        <w:numPr>
          <w:ilvl w:val="0"/>
          <w:numId w:val="0"/>
        </w:numPr>
        <w:ind w:left="1134" w:hanging="1134"/>
        <w:rPr>
          <w:rFonts w:ascii="Times New Roman" w:hAnsi="Times New Roman"/>
          <w:sz w:val="22"/>
        </w:rPr>
      </w:pPr>
      <w:r w:rsidRPr="00A260ED">
        <w:rPr>
          <w:rFonts w:ascii="Times New Roman" w:hAnsi="Times New Roman"/>
          <w:sz w:val="22"/>
        </w:rPr>
        <w:t>Pregnancy, lactation</w:t>
      </w:r>
    </w:p>
    <w:p w14:paraId="43DF751B" w14:textId="77777777" w:rsidR="00B6112F" w:rsidRPr="00A260ED" w:rsidRDefault="00B6112F" w:rsidP="00EB2A24">
      <w:pPr>
        <w:pStyle w:val="Heading2"/>
        <w:numPr>
          <w:ilvl w:val="0"/>
          <w:numId w:val="0"/>
        </w:numPr>
        <w:ind w:left="1134" w:hanging="1134"/>
        <w:rPr>
          <w:rFonts w:ascii="Times New Roman" w:eastAsia="MS Mincho" w:hAnsi="Times New Roman"/>
          <w:b w:val="0"/>
          <w:i/>
          <w:sz w:val="22"/>
          <w:lang w:val="en-GB"/>
        </w:rPr>
      </w:pPr>
      <w:r w:rsidRPr="00A260ED">
        <w:rPr>
          <w:rFonts w:ascii="Times New Roman" w:eastAsia="MS Mincho" w:hAnsi="Times New Roman"/>
          <w:b w:val="0"/>
          <w:sz w:val="22"/>
          <w:lang w:val="en-GB"/>
        </w:rPr>
        <w:t>Pregnancy</w:t>
      </w:r>
    </w:p>
    <w:p w14:paraId="6E9C6A04" w14:textId="31A77B29" w:rsidR="00B6112F" w:rsidRPr="00A260ED" w:rsidRDefault="007F720C" w:rsidP="00EB2A24">
      <w:pPr>
        <w:pStyle w:val="J1"/>
        <w:rPr>
          <w:rFonts w:ascii="Times New Roman" w:eastAsia="MS Mincho" w:hAnsi="Times New Roman"/>
        </w:rPr>
      </w:pPr>
      <w:r>
        <w:rPr>
          <w:rFonts w:ascii="Times New Roman" w:eastAsia="MS Mincho" w:hAnsi="Times New Roman"/>
        </w:rPr>
        <w:t>Gazyvaro</w:t>
      </w:r>
      <w:r w:rsidR="00B6112F" w:rsidRPr="00A260ED">
        <w:rPr>
          <w:rFonts w:ascii="Times New Roman" w:eastAsia="MS Mincho" w:hAnsi="Times New Roman"/>
        </w:rPr>
        <w:t xml:space="preserve"> should be avoided during pregnancy unless the potential benefit to the mother outweighs the potential risk to the fetus. Women of childbearing potential should use a reliable method of contraception during treatment with </w:t>
      </w:r>
      <w:r>
        <w:rPr>
          <w:rFonts w:ascii="Times New Roman" w:eastAsia="MS Mincho" w:hAnsi="Times New Roman"/>
        </w:rPr>
        <w:t>Gazyvaro</w:t>
      </w:r>
      <w:r w:rsidR="00B6112F" w:rsidRPr="00A260ED">
        <w:rPr>
          <w:rFonts w:ascii="Times New Roman" w:eastAsia="MS Mincho" w:hAnsi="Times New Roman"/>
        </w:rPr>
        <w:t xml:space="preserve"> and for 18 months thereafter (see </w:t>
      </w:r>
      <w:r w:rsidR="00B6112F" w:rsidRPr="00A260ED">
        <w:rPr>
          <w:rFonts w:ascii="Times New Roman" w:hAnsi="Times New Roman"/>
        </w:rPr>
        <w:t>“</w:t>
      </w:r>
      <w:r w:rsidR="00B6112F" w:rsidRPr="00A260ED">
        <w:rPr>
          <w:rFonts w:ascii="Times New Roman" w:eastAsia="MS Mincho" w:hAnsi="Times New Roman"/>
        </w:rPr>
        <w:t>Pharmacokinetics, Elimination</w:t>
      </w:r>
      <w:r w:rsidR="00B6112F" w:rsidRPr="00A260ED">
        <w:rPr>
          <w:rFonts w:ascii="Times New Roman" w:hAnsi="Times New Roman"/>
        </w:rPr>
        <w:t>”).</w:t>
      </w:r>
      <w:r w:rsidR="00B6112F" w:rsidRPr="00A260ED">
        <w:rPr>
          <w:rFonts w:ascii="Times New Roman" w:eastAsia="MS Mincho" w:hAnsi="Times New Roman"/>
        </w:rPr>
        <w:t xml:space="preserve"> In newborns of mothers exposed to </w:t>
      </w:r>
      <w:r>
        <w:rPr>
          <w:rFonts w:ascii="Times New Roman" w:eastAsia="MS Mincho" w:hAnsi="Times New Roman"/>
        </w:rPr>
        <w:t>Gazyvaro</w:t>
      </w:r>
      <w:r w:rsidR="00B6112F" w:rsidRPr="00A260ED">
        <w:rPr>
          <w:rFonts w:ascii="Times New Roman" w:eastAsia="MS Mincho" w:hAnsi="Times New Roman"/>
        </w:rPr>
        <w:t xml:space="preserve"> during pregnancy, consider postponing vaccinations with live virus vaccines until B</w:t>
      </w:r>
      <w:r w:rsidR="00B6112F" w:rsidRPr="00A260ED">
        <w:rPr>
          <w:rFonts w:ascii="Times New Roman" w:hAnsi="Times New Roman"/>
        </w:rPr>
        <w:t> </w:t>
      </w:r>
      <w:r w:rsidR="00B6112F" w:rsidRPr="00A260ED">
        <w:rPr>
          <w:rFonts w:ascii="Times New Roman" w:eastAsia="MS Mincho" w:hAnsi="Times New Roman"/>
        </w:rPr>
        <w:t>cell counts are within the normal range.</w:t>
      </w:r>
    </w:p>
    <w:p w14:paraId="019C1A29" w14:textId="775F777A" w:rsidR="00B6112F" w:rsidRPr="00A260ED" w:rsidRDefault="00B6112F" w:rsidP="00EB2A24">
      <w:pPr>
        <w:pStyle w:val="J1"/>
        <w:rPr>
          <w:rFonts w:ascii="Times New Roman" w:eastAsia="MS Mincho" w:hAnsi="Times New Roman"/>
        </w:rPr>
      </w:pPr>
      <w:r w:rsidRPr="00A260ED">
        <w:rPr>
          <w:rFonts w:ascii="Times New Roman" w:eastAsia="MS Mincho" w:hAnsi="Times New Roman"/>
        </w:rPr>
        <w:t>No studies have been conducted in pregnant women. A reproduction study in cynomolgus monkeys produced no evidence of embryofetal toxicity or teratogenic effects</w:t>
      </w:r>
      <w:r w:rsidRPr="00A260ED">
        <w:rPr>
          <w:rFonts w:ascii="Times New Roman" w:hAnsi="Times New Roman"/>
        </w:rPr>
        <w:t>,</w:t>
      </w:r>
      <w:r w:rsidRPr="00A260ED">
        <w:rPr>
          <w:rFonts w:ascii="Times New Roman" w:eastAsia="MS Mincho" w:hAnsi="Times New Roman"/>
        </w:rPr>
        <w:t xml:space="preserve"> but showed complete depletion of B</w:t>
      </w:r>
      <w:r w:rsidRPr="00A260ED">
        <w:rPr>
          <w:rFonts w:ascii="Times New Roman" w:hAnsi="Times New Roman"/>
        </w:rPr>
        <w:t> </w:t>
      </w:r>
      <w:r w:rsidRPr="00A260ED">
        <w:rPr>
          <w:rFonts w:ascii="Times New Roman" w:eastAsia="MS Mincho" w:hAnsi="Times New Roman"/>
        </w:rPr>
        <w:t>lymphocytes in the newborn. B</w:t>
      </w:r>
      <w:r w:rsidRPr="00A260ED">
        <w:rPr>
          <w:rFonts w:ascii="Times New Roman" w:hAnsi="Times New Roman"/>
        </w:rPr>
        <w:t> </w:t>
      </w:r>
      <w:r w:rsidRPr="00A260ED">
        <w:rPr>
          <w:rFonts w:ascii="Times New Roman" w:eastAsia="MS Mincho" w:hAnsi="Times New Roman"/>
        </w:rPr>
        <w:t>cell counts in the newborn returned to normal levels and immunological function was restored within 6</w:t>
      </w:r>
      <w:r w:rsidRPr="00A260ED">
        <w:rPr>
          <w:rFonts w:ascii="Times New Roman" w:hAnsi="Times New Roman"/>
        </w:rPr>
        <w:t xml:space="preserve"> </w:t>
      </w:r>
      <w:r w:rsidRPr="00A260ED">
        <w:rPr>
          <w:rFonts w:ascii="Times New Roman" w:eastAsia="MS Mincho" w:hAnsi="Times New Roman"/>
        </w:rPr>
        <w:t xml:space="preserve">months of birth (see </w:t>
      </w:r>
      <w:r w:rsidRPr="00A260ED">
        <w:rPr>
          <w:rFonts w:ascii="Times New Roman" w:hAnsi="Times New Roman"/>
        </w:rPr>
        <w:t>“</w:t>
      </w:r>
      <w:r w:rsidRPr="00A260ED">
        <w:rPr>
          <w:rFonts w:ascii="Times New Roman" w:eastAsia="MS Mincho" w:hAnsi="Times New Roman"/>
        </w:rPr>
        <w:t>Preclinical data, Reproductive toxicity</w:t>
      </w:r>
      <w:r w:rsidRPr="00A260ED">
        <w:rPr>
          <w:rFonts w:ascii="Times New Roman" w:hAnsi="Times New Roman"/>
        </w:rPr>
        <w:t>”).</w:t>
      </w:r>
      <w:r w:rsidRPr="00A260ED">
        <w:rPr>
          <w:rFonts w:ascii="Times New Roman" w:eastAsia="MS Mincho" w:hAnsi="Times New Roman"/>
        </w:rPr>
        <w:t xml:space="preserve"> Furthermore, the serum concentrations of </w:t>
      </w:r>
      <w:r w:rsidR="007F720C">
        <w:rPr>
          <w:rFonts w:ascii="Times New Roman" w:eastAsia="MS Mincho" w:hAnsi="Times New Roman"/>
        </w:rPr>
        <w:t>Gazyvaro</w:t>
      </w:r>
      <w:r w:rsidRPr="00A260ED">
        <w:rPr>
          <w:rFonts w:ascii="Times New Roman" w:eastAsia="MS Mincho" w:hAnsi="Times New Roman"/>
        </w:rPr>
        <w:t xml:space="preserve"> in the newborn were similar to those in the mothers on day 28 post-partum, whereas concentrations in milk on the same day were very low, suggesting that </w:t>
      </w:r>
      <w:r w:rsidR="007F720C">
        <w:rPr>
          <w:rFonts w:ascii="Times New Roman" w:eastAsia="MS Mincho" w:hAnsi="Times New Roman"/>
        </w:rPr>
        <w:t>Gazyvaro</w:t>
      </w:r>
      <w:r w:rsidRPr="00A260ED">
        <w:rPr>
          <w:rFonts w:ascii="Times New Roman" w:eastAsia="MS Mincho" w:hAnsi="Times New Roman"/>
        </w:rPr>
        <w:t xml:space="preserve"> crosses the placenta.</w:t>
      </w:r>
    </w:p>
    <w:p w14:paraId="5CA4505D" w14:textId="77777777" w:rsidR="00B6112F" w:rsidRPr="00A260ED" w:rsidRDefault="00B6112F" w:rsidP="00EB2A24">
      <w:pPr>
        <w:pStyle w:val="Heading2"/>
        <w:numPr>
          <w:ilvl w:val="0"/>
          <w:numId w:val="0"/>
        </w:numPr>
        <w:ind w:left="1134" w:hanging="1134"/>
        <w:rPr>
          <w:rFonts w:ascii="Times New Roman" w:eastAsia="MS Mincho" w:hAnsi="Times New Roman"/>
          <w:b w:val="0"/>
          <w:i/>
          <w:sz w:val="22"/>
          <w:lang w:val="en-GB"/>
        </w:rPr>
      </w:pPr>
      <w:r w:rsidRPr="00A260ED">
        <w:rPr>
          <w:rFonts w:ascii="Times New Roman" w:eastAsia="MS Mincho" w:hAnsi="Times New Roman"/>
          <w:b w:val="0"/>
          <w:sz w:val="22"/>
          <w:lang w:val="en-GB"/>
        </w:rPr>
        <w:t>Lactation</w:t>
      </w:r>
    </w:p>
    <w:p w14:paraId="26ABE5D7" w14:textId="15A923B0"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Because human IgG is excreted in human milk, and the potential for absorption and harm to the newborn is unknown, women should be advised to discontinue nursing during </w:t>
      </w:r>
      <w:r w:rsidR="007F720C">
        <w:rPr>
          <w:rFonts w:ascii="Times New Roman" w:eastAsia="MS Mincho" w:hAnsi="Times New Roman"/>
        </w:rPr>
        <w:t>Gazyvaro</w:t>
      </w:r>
      <w:r w:rsidRPr="00A260ED">
        <w:rPr>
          <w:rFonts w:ascii="Times New Roman" w:eastAsia="MS Mincho" w:hAnsi="Times New Roman"/>
        </w:rPr>
        <w:t xml:space="preserve"> therapy and for 18 months after the last dose of </w:t>
      </w:r>
      <w:r w:rsidR="007F720C">
        <w:rPr>
          <w:rFonts w:ascii="Times New Roman" w:eastAsia="MS Mincho" w:hAnsi="Times New Roman"/>
        </w:rPr>
        <w:t>Gazyvaro</w:t>
      </w:r>
      <w:r w:rsidRPr="00A260ED">
        <w:rPr>
          <w:rFonts w:ascii="Times New Roman" w:eastAsia="MS Mincho" w:hAnsi="Times New Roman"/>
        </w:rPr>
        <w:t xml:space="preserve">. Animal studies have shown excretion of </w:t>
      </w:r>
      <w:r w:rsidR="007F720C">
        <w:rPr>
          <w:rFonts w:ascii="Times New Roman" w:eastAsia="MS Mincho" w:hAnsi="Times New Roman"/>
        </w:rPr>
        <w:t>Gazyvaro</w:t>
      </w:r>
      <w:r w:rsidRPr="00A260ED">
        <w:rPr>
          <w:rFonts w:ascii="Times New Roman" w:eastAsia="MS Mincho" w:hAnsi="Times New Roman"/>
        </w:rPr>
        <w:t xml:space="preserve"> in the milk (see </w:t>
      </w:r>
      <w:r w:rsidRPr="00A260ED">
        <w:rPr>
          <w:rFonts w:ascii="Times New Roman" w:hAnsi="Times New Roman"/>
        </w:rPr>
        <w:t>“</w:t>
      </w:r>
      <w:r w:rsidRPr="00A260ED">
        <w:rPr>
          <w:rFonts w:ascii="Times New Roman" w:eastAsia="MS Mincho" w:hAnsi="Times New Roman"/>
        </w:rPr>
        <w:t>Preclinical data, Reproductive toxicity</w:t>
      </w:r>
      <w:r w:rsidRPr="00A260ED">
        <w:rPr>
          <w:rFonts w:ascii="Times New Roman" w:hAnsi="Times New Roman"/>
        </w:rPr>
        <w:t>”).</w:t>
      </w:r>
    </w:p>
    <w:p w14:paraId="2B9D372F" w14:textId="77777777" w:rsidR="00B6112F" w:rsidRPr="00A260ED" w:rsidRDefault="00B6112F" w:rsidP="00EB2A24">
      <w:pPr>
        <w:pStyle w:val="Heading1"/>
        <w:numPr>
          <w:ilvl w:val="0"/>
          <w:numId w:val="0"/>
        </w:numPr>
        <w:ind w:left="1134" w:hanging="1134"/>
        <w:rPr>
          <w:rFonts w:ascii="Times New Roman" w:hAnsi="Times New Roman"/>
          <w:sz w:val="22"/>
        </w:rPr>
      </w:pPr>
      <w:r w:rsidRPr="00A260ED">
        <w:rPr>
          <w:rFonts w:ascii="Times New Roman" w:hAnsi="Times New Roman"/>
          <w:sz w:val="22"/>
        </w:rPr>
        <w:t>Effects on ability to drive and use machines</w:t>
      </w:r>
    </w:p>
    <w:p w14:paraId="495AC3E4"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No studies have been performed </w:t>
      </w:r>
      <w:r w:rsidRPr="00A260ED">
        <w:rPr>
          <w:rFonts w:ascii="Times New Roman" w:hAnsi="Times New Roman"/>
        </w:rPr>
        <w:t>on</w:t>
      </w:r>
      <w:r w:rsidRPr="00A260ED">
        <w:rPr>
          <w:rFonts w:ascii="Times New Roman" w:eastAsia="MS Mincho" w:hAnsi="Times New Roman"/>
        </w:rPr>
        <w:t xml:space="preserve"> the effects on the ability to drive and use machines. Patients experiencing infusion-related symptoms should be advised not to drive and use machines until symptoms abate.</w:t>
      </w:r>
    </w:p>
    <w:p w14:paraId="3A19D60C" w14:textId="77777777" w:rsidR="00B6112F" w:rsidRPr="00A260ED" w:rsidRDefault="00B6112F" w:rsidP="00EB2A24">
      <w:pPr>
        <w:pStyle w:val="Heading1"/>
        <w:numPr>
          <w:ilvl w:val="0"/>
          <w:numId w:val="0"/>
        </w:numPr>
        <w:ind w:left="1134" w:hanging="1134"/>
        <w:rPr>
          <w:rFonts w:ascii="Times New Roman" w:hAnsi="Times New Roman"/>
          <w:sz w:val="22"/>
        </w:rPr>
      </w:pPr>
      <w:r w:rsidRPr="00A260ED">
        <w:rPr>
          <w:rFonts w:ascii="Times New Roman" w:hAnsi="Times New Roman"/>
          <w:sz w:val="22"/>
        </w:rPr>
        <w:lastRenderedPageBreak/>
        <w:t>Undesirable effects</w:t>
      </w:r>
    </w:p>
    <w:p w14:paraId="0C356A7F" w14:textId="4176A52F" w:rsidR="00B6112F" w:rsidRPr="00A260ED" w:rsidRDefault="00B6112F">
      <w:pPr>
        <w:pStyle w:val="J1"/>
        <w:rPr>
          <w:rFonts w:ascii="Times New Roman" w:hAnsi="Times New Roman"/>
        </w:rPr>
      </w:pPr>
      <w:r w:rsidRPr="00A260ED">
        <w:rPr>
          <w:rFonts w:ascii="Times New Roman" w:eastAsia="MS Mincho" w:hAnsi="Times New Roman"/>
          <w:b/>
          <w:i/>
        </w:rPr>
        <w:t>Clinical studies</w:t>
      </w:r>
      <w:r w:rsidR="001D3B41" w:rsidRPr="00A260ED">
        <w:rPr>
          <w:rFonts w:ascii="Times New Roman" w:eastAsia="MS Mincho" w:hAnsi="Times New Roman"/>
          <w:b/>
          <w:i/>
        </w:rPr>
        <w:t xml:space="preserve"> </w:t>
      </w:r>
      <w:r w:rsidRPr="00A260ED">
        <w:rPr>
          <w:rFonts w:ascii="Times New Roman" w:hAnsi="Times New Roman"/>
        </w:rPr>
        <w:t xml:space="preserve">Patients with various haematological disorders (e.g. CLL and iNHL) were treated in clinical trials with </w:t>
      </w:r>
      <w:r w:rsidR="007F720C">
        <w:rPr>
          <w:rFonts w:ascii="Times New Roman" w:hAnsi="Times New Roman"/>
        </w:rPr>
        <w:t>Gazyvaro</w:t>
      </w:r>
      <w:r w:rsidRPr="00A260ED">
        <w:rPr>
          <w:rFonts w:ascii="Times New Roman" w:hAnsi="Times New Roman"/>
        </w:rPr>
        <w:t>, predominantly in combination with chemotherapy (CHOP, CVP, chlorambucil or bendamustine). The safety profile from the clinical trial population of approximately 4900 patients is presented in this section (see also “Properties/Effects, Clinical efficacy”).</w:t>
      </w:r>
    </w:p>
    <w:p w14:paraId="78433F55" w14:textId="77777777" w:rsidR="00B6112F" w:rsidRPr="00A260ED" w:rsidRDefault="00B6112F">
      <w:pPr>
        <w:pStyle w:val="J1"/>
        <w:rPr>
          <w:rFonts w:ascii="Times New Roman" w:hAnsi="Times New Roman"/>
        </w:rPr>
      </w:pPr>
      <w:r w:rsidRPr="00A260ED">
        <w:rPr>
          <w:rFonts w:ascii="Times New Roman" w:hAnsi="Times New Roman"/>
        </w:rPr>
        <w:t>The most serious adverse drug reactions were:</w:t>
      </w:r>
    </w:p>
    <w:p w14:paraId="46E19EBB" w14:textId="77777777" w:rsidR="00B6112F" w:rsidRPr="00A260ED" w:rsidRDefault="00B6112F" w:rsidP="00B6112F">
      <w:pPr>
        <w:pStyle w:val="J1"/>
        <w:numPr>
          <w:ilvl w:val="0"/>
          <w:numId w:val="5"/>
        </w:numPr>
        <w:rPr>
          <w:rFonts w:ascii="Times New Roman" w:hAnsi="Times New Roman"/>
        </w:rPr>
      </w:pPr>
      <w:r w:rsidRPr="00A260ED">
        <w:rPr>
          <w:rFonts w:ascii="Times New Roman" w:hAnsi="Times New Roman"/>
        </w:rPr>
        <w:t>Infusion reactions, predominantly in CLL patients (see “Warnings and precautions”)</w:t>
      </w:r>
    </w:p>
    <w:p w14:paraId="589359B4" w14:textId="77777777" w:rsidR="00B6112F" w:rsidRPr="00A260ED" w:rsidRDefault="00B6112F" w:rsidP="00B6112F">
      <w:pPr>
        <w:pStyle w:val="J1"/>
        <w:numPr>
          <w:ilvl w:val="0"/>
          <w:numId w:val="5"/>
        </w:numPr>
        <w:rPr>
          <w:rFonts w:ascii="Times New Roman" w:hAnsi="Times New Roman"/>
        </w:rPr>
      </w:pPr>
      <w:r w:rsidRPr="00A260ED">
        <w:rPr>
          <w:rFonts w:ascii="Times New Roman" w:hAnsi="Times New Roman"/>
        </w:rPr>
        <w:t>Tumour lysis syndrome, predominantly in patients with a high tumour burden and/or a high circulating lymphocyte count and/or renal impairment (see “Warnings and precautions”)</w:t>
      </w:r>
    </w:p>
    <w:p w14:paraId="27E52C34" w14:textId="77777777" w:rsidR="00B6112F" w:rsidRPr="00A260ED" w:rsidRDefault="00B6112F" w:rsidP="00B6112F">
      <w:pPr>
        <w:pStyle w:val="J1"/>
        <w:numPr>
          <w:ilvl w:val="0"/>
          <w:numId w:val="5"/>
        </w:numPr>
        <w:rPr>
          <w:rFonts w:ascii="Times New Roman" w:hAnsi="Times New Roman"/>
        </w:rPr>
      </w:pPr>
      <w:r w:rsidRPr="00A260ED">
        <w:rPr>
          <w:rFonts w:ascii="Times New Roman" w:hAnsi="Times New Roman"/>
        </w:rPr>
        <w:t>Thrombocytopenia, which can be fatal in the first cycle (see “Warnings and precautions”)</w:t>
      </w:r>
    </w:p>
    <w:p w14:paraId="1DDD8A41" w14:textId="7B0FA825" w:rsidR="00B6112F" w:rsidRPr="00A260ED" w:rsidRDefault="00B6112F">
      <w:pPr>
        <w:pStyle w:val="J1"/>
        <w:rPr>
          <w:rFonts w:ascii="Times New Roman" w:hAnsi="Times New Roman"/>
        </w:rPr>
      </w:pPr>
      <w:r w:rsidRPr="00A260ED">
        <w:rPr>
          <w:rFonts w:ascii="Times New Roman" w:hAnsi="Times New Roman"/>
        </w:rPr>
        <w:t xml:space="preserve">The most frequently observed adverse drug reactions in patients receiving </w:t>
      </w:r>
      <w:r w:rsidR="007F720C">
        <w:rPr>
          <w:rFonts w:ascii="Times New Roman" w:hAnsi="Times New Roman"/>
        </w:rPr>
        <w:t>Gazyvaro</w:t>
      </w:r>
      <w:r w:rsidRPr="00A260ED">
        <w:rPr>
          <w:rFonts w:ascii="Times New Roman" w:hAnsi="Times New Roman"/>
        </w:rPr>
        <w:t xml:space="preserve"> in clinical trials were IRR, neutropenia, diarrhoea, constipation and cough.</w:t>
      </w:r>
    </w:p>
    <w:p w14:paraId="570D9E67" w14:textId="3974E011"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Adverse drug reactions associated with the use of </w:t>
      </w:r>
      <w:r w:rsidR="007F720C">
        <w:rPr>
          <w:rFonts w:ascii="Times New Roman" w:eastAsia="MS Mincho" w:hAnsi="Times New Roman"/>
        </w:rPr>
        <w:t>Gazyvaro</w:t>
      </w:r>
      <w:r w:rsidRPr="00A260ED">
        <w:rPr>
          <w:rFonts w:ascii="Times New Roman" w:eastAsia="MS Mincho" w:hAnsi="Times New Roman"/>
        </w:rPr>
        <w:t xml:space="preserve"> in combination with different chemotherapy regimens in multiple indications are listed below. The listed adverse drug reactions fall into the categories: very common (≥1/10</w:t>
      </w:r>
      <w:r w:rsidRPr="00A260ED">
        <w:rPr>
          <w:rFonts w:ascii="Times New Roman" w:hAnsi="Times New Roman"/>
        </w:rPr>
        <w:t>),</w:t>
      </w:r>
      <w:r w:rsidRPr="00A260ED">
        <w:rPr>
          <w:rFonts w:ascii="Times New Roman" w:eastAsia="MS Mincho" w:hAnsi="Times New Roman"/>
        </w:rPr>
        <w:t xml:space="preserve"> common (≥1/100 to &lt;1/10</w:t>
      </w:r>
      <w:r w:rsidRPr="00A260ED">
        <w:rPr>
          <w:rFonts w:ascii="Times New Roman" w:hAnsi="Times New Roman"/>
        </w:rPr>
        <w:t>),</w:t>
      </w:r>
      <w:r w:rsidRPr="00A260ED">
        <w:rPr>
          <w:rFonts w:ascii="Times New Roman" w:eastAsia="MS Mincho" w:hAnsi="Times New Roman"/>
        </w:rPr>
        <w:t xml:space="preserve"> uncommon (≥1/1000 to &lt;1/100), rare (≥1/10,000 to &lt;1/1000). The adverse drug reactions were assigned to the appropriate category according to the highest incidence seen in any of the major clinical trials.</w:t>
      </w:r>
    </w:p>
    <w:p w14:paraId="4082B780" w14:textId="77777777" w:rsidR="00B6112F" w:rsidRPr="00A260ED" w:rsidRDefault="00B6112F" w:rsidP="00EB2A24">
      <w:pPr>
        <w:pStyle w:val="Heading4"/>
        <w:numPr>
          <w:ilvl w:val="0"/>
          <w:numId w:val="0"/>
        </w:numPr>
        <w:ind w:left="1134" w:hanging="1134"/>
        <w:rPr>
          <w:rFonts w:ascii="Times New Roman" w:eastAsia="MS Mincho" w:hAnsi="Times New Roman"/>
          <w:b w:val="0"/>
          <w:sz w:val="22"/>
          <w:lang w:val="en-GB"/>
        </w:rPr>
      </w:pPr>
      <w:r w:rsidRPr="00A260ED">
        <w:rPr>
          <w:rFonts w:ascii="Times New Roman" w:eastAsia="MS Mincho" w:hAnsi="Times New Roman"/>
          <w:sz w:val="22"/>
          <w:lang w:val="en-GB"/>
        </w:rPr>
        <w:t>Infections and infestations</w:t>
      </w:r>
    </w:p>
    <w:p w14:paraId="71C67A6B" w14:textId="77777777" w:rsidR="00B6112F" w:rsidRPr="00A260ED" w:rsidRDefault="00B6112F" w:rsidP="001D3B41">
      <w:pPr>
        <w:pStyle w:val="J1"/>
        <w:rPr>
          <w:rFonts w:ascii="Times New Roman" w:hAnsi="Times New Roman"/>
        </w:rPr>
      </w:pPr>
      <w:r w:rsidRPr="00A260ED">
        <w:rPr>
          <w:rFonts w:ascii="Times New Roman" w:hAnsi="Times New Roman"/>
          <w:i/>
        </w:rPr>
        <w:t>Very common</w:t>
      </w:r>
      <w:r w:rsidRPr="00A260ED">
        <w:rPr>
          <w:rFonts w:ascii="Times New Roman" w:hAnsi="Times New Roman"/>
        </w:rPr>
        <w:t>: Upper respiratory tract infection (all grades: 22.1%, grade 3</w:t>
      </w:r>
      <w:r w:rsidRPr="00A260ED">
        <w:rPr>
          <w:rFonts w:ascii="Times New Roman" w:hAnsi="Times New Roman"/>
        </w:rPr>
        <w:noBreakHyphen/>
        <w:t>5: 2.0%), sinusitis (all grades: 12.3%, grade 3</w:t>
      </w:r>
      <w:r w:rsidRPr="00A260ED">
        <w:rPr>
          <w:rFonts w:ascii="Times New Roman" w:hAnsi="Times New Roman"/>
        </w:rPr>
        <w:noBreakHyphen/>
        <w:t>5: 1.0%), herpes zoster (all grades: 11.0%, grade 3</w:t>
      </w:r>
      <w:r w:rsidRPr="00A260ED">
        <w:rPr>
          <w:rFonts w:ascii="Times New Roman" w:hAnsi="Times New Roman"/>
        </w:rPr>
        <w:noBreakHyphen/>
        <w:t>5: 1.6%), pneumonia (all grades: 10.9%, grade 3</w:t>
      </w:r>
      <w:r w:rsidRPr="00A260ED">
        <w:rPr>
          <w:rFonts w:ascii="Times New Roman" w:hAnsi="Times New Roman"/>
        </w:rPr>
        <w:noBreakHyphen/>
        <w:t>5: 5.4%), urinary tract infection (all grades 11.8%, grade 3</w:t>
      </w:r>
      <w:r w:rsidRPr="00A260ED">
        <w:rPr>
          <w:rFonts w:ascii="Times New Roman" w:hAnsi="Times New Roman"/>
        </w:rPr>
        <w:noBreakHyphen/>
        <w:t>5: 2.9%), nasopharyngitis (all grades 10.8%, grade 3-5 &lt;1%).</w:t>
      </w:r>
    </w:p>
    <w:p w14:paraId="665361AA"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i/>
        </w:rPr>
        <w:t>Common</w:t>
      </w:r>
      <w:r w:rsidRPr="00A260ED">
        <w:rPr>
          <w:rFonts w:ascii="Times New Roman" w:eastAsia="MS Mincho" w:hAnsi="Times New Roman"/>
        </w:rPr>
        <w:t>: Oral herpes, rhinitis, pharyngitis, pulmonary infection, influenza.</w:t>
      </w:r>
    </w:p>
    <w:p w14:paraId="27D6AE45"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i/>
        </w:rPr>
        <w:t>Isolated cases</w:t>
      </w:r>
      <w:r w:rsidRPr="00A260ED">
        <w:rPr>
          <w:rFonts w:ascii="Times New Roman" w:eastAsia="MS Mincho" w:hAnsi="Times New Roman"/>
        </w:rPr>
        <w:t>: Progressive multifocal leukoencephalopathy (PML), reactivation of hepatitis</w:t>
      </w:r>
      <w:r w:rsidRPr="00A260ED">
        <w:rPr>
          <w:rFonts w:ascii="Times New Roman" w:hAnsi="Times New Roman"/>
        </w:rPr>
        <w:t> </w:t>
      </w:r>
      <w:r w:rsidRPr="00A260ED">
        <w:rPr>
          <w:rFonts w:ascii="Times New Roman" w:eastAsia="MS Mincho" w:hAnsi="Times New Roman"/>
        </w:rPr>
        <w:t>B.</w:t>
      </w:r>
    </w:p>
    <w:p w14:paraId="71E85C0A" w14:textId="77777777" w:rsidR="00B6112F" w:rsidRPr="00A260ED" w:rsidRDefault="00B6112F" w:rsidP="00EB2A24">
      <w:pPr>
        <w:pStyle w:val="Heading4"/>
        <w:numPr>
          <w:ilvl w:val="0"/>
          <w:numId w:val="0"/>
        </w:numPr>
        <w:ind w:left="1134" w:hanging="1134"/>
        <w:rPr>
          <w:rFonts w:ascii="Times New Roman" w:eastAsia="MS Mincho" w:hAnsi="Times New Roman"/>
          <w:b w:val="0"/>
          <w:sz w:val="22"/>
          <w:lang w:val="en-GB"/>
        </w:rPr>
      </w:pPr>
      <w:r w:rsidRPr="00A260ED">
        <w:rPr>
          <w:rFonts w:ascii="Times New Roman" w:eastAsia="MS Mincho" w:hAnsi="Times New Roman"/>
          <w:sz w:val="22"/>
          <w:lang w:val="en-GB"/>
        </w:rPr>
        <w:t xml:space="preserve">Benign, malignant and </w:t>
      </w:r>
      <w:r w:rsidRPr="00A260ED">
        <w:rPr>
          <w:rFonts w:ascii="Times New Roman" w:hAnsi="Times New Roman"/>
          <w:sz w:val="22"/>
        </w:rPr>
        <w:t>unspecified</w:t>
      </w:r>
      <w:r w:rsidRPr="00A260ED">
        <w:rPr>
          <w:rFonts w:ascii="Times New Roman" w:eastAsia="MS Mincho" w:hAnsi="Times New Roman"/>
          <w:sz w:val="22"/>
          <w:lang w:val="en-GB"/>
        </w:rPr>
        <w:t xml:space="preserve"> neoplasms (including cysts and polyps)</w:t>
      </w:r>
    </w:p>
    <w:p w14:paraId="7A1FD6B4" w14:textId="77777777" w:rsidR="00B6112F" w:rsidRPr="00A260ED" w:rsidRDefault="00B6112F" w:rsidP="001D3B41">
      <w:pPr>
        <w:pStyle w:val="J1"/>
        <w:rPr>
          <w:rFonts w:ascii="Times New Roman" w:eastAsia="MS Mincho" w:hAnsi="Times New Roman"/>
        </w:rPr>
      </w:pPr>
      <w:r w:rsidRPr="00A260ED">
        <w:rPr>
          <w:rFonts w:ascii="Times New Roman" w:eastAsia="MS Mincho" w:hAnsi="Times New Roman"/>
          <w:i/>
        </w:rPr>
        <w:t>Common</w:t>
      </w:r>
      <w:r w:rsidRPr="00A260ED">
        <w:rPr>
          <w:rFonts w:ascii="Times New Roman" w:eastAsia="MS Mincho" w:hAnsi="Times New Roman"/>
        </w:rPr>
        <w:t>: Squamous cell carcinoma of skin</w:t>
      </w:r>
      <w:r w:rsidRPr="00A260ED">
        <w:rPr>
          <w:rFonts w:ascii="Times New Roman" w:hAnsi="Times New Roman"/>
        </w:rPr>
        <w:t>, basal cell carcinoma</w:t>
      </w:r>
      <w:r w:rsidRPr="00A260ED">
        <w:rPr>
          <w:rFonts w:ascii="Times New Roman" w:eastAsia="MS Mincho" w:hAnsi="Times New Roman"/>
        </w:rPr>
        <w:t>.</w:t>
      </w:r>
    </w:p>
    <w:p w14:paraId="327CA6F6" w14:textId="77777777" w:rsidR="00B6112F" w:rsidRPr="00A260ED" w:rsidRDefault="00B6112F" w:rsidP="00EB2A24">
      <w:pPr>
        <w:pStyle w:val="Heading4"/>
        <w:numPr>
          <w:ilvl w:val="0"/>
          <w:numId w:val="0"/>
        </w:numPr>
        <w:ind w:left="1134" w:hanging="1134"/>
        <w:rPr>
          <w:rFonts w:ascii="Times New Roman" w:eastAsia="MS Mincho" w:hAnsi="Times New Roman"/>
          <w:b w:val="0"/>
          <w:sz w:val="22"/>
          <w:lang w:val="en-GB"/>
        </w:rPr>
      </w:pPr>
      <w:r w:rsidRPr="00A260ED">
        <w:rPr>
          <w:rFonts w:ascii="Times New Roman" w:eastAsia="MS Mincho" w:hAnsi="Times New Roman"/>
          <w:sz w:val="22"/>
          <w:lang w:val="en-GB"/>
        </w:rPr>
        <w:t>Blood and lymphatic system disorders</w:t>
      </w:r>
    </w:p>
    <w:p w14:paraId="731DF0AC" w14:textId="77777777" w:rsidR="00B6112F" w:rsidRPr="00A260ED" w:rsidRDefault="00B6112F" w:rsidP="001D3B41">
      <w:pPr>
        <w:pStyle w:val="J1"/>
        <w:rPr>
          <w:rFonts w:ascii="Times New Roman" w:hAnsi="Times New Roman"/>
        </w:rPr>
      </w:pPr>
      <w:r w:rsidRPr="00A260ED">
        <w:rPr>
          <w:rFonts w:ascii="Times New Roman" w:hAnsi="Times New Roman"/>
          <w:i/>
        </w:rPr>
        <w:t>Very common</w:t>
      </w:r>
      <w:r w:rsidRPr="00A260ED">
        <w:rPr>
          <w:rFonts w:ascii="Times New Roman" w:hAnsi="Times New Roman"/>
        </w:rPr>
        <w:t>: Neutropenia (all grades: 50.7%, grade 3</w:t>
      </w:r>
      <w:r w:rsidRPr="00A260ED">
        <w:rPr>
          <w:rFonts w:ascii="Times New Roman" w:hAnsi="Times New Roman"/>
        </w:rPr>
        <w:noBreakHyphen/>
        <w:t>5: 46.8%), thrombocytopenia (all grades: 15.4%, grade 3</w:t>
      </w:r>
      <w:r w:rsidRPr="00A260ED">
        <w:rPr>
          <w:rFonts w:ascii="Times New Roman" w:hAnsi="Times New Roman"/>
        </w:rPr>
        <w:noBreakHyphen/>
        <w:t>5: 11.2%), anaemia all grades: 12.4% (grade 3</w:t>
      </w:r>
      <w:r w:rsidRPr="00A260ED">
        <w:rPr>
          <w:rFonts w:ascii="Times New Roman" w:hAnsi="Times New Roman"/>
        </w:rPr>
        <w:noBreakHyphen/>
        <w:t>5: 6.9%), leukopenia (all grades: 12.5%, grade 3</w:t>
      </w:r>
      <w:r w:rsidRPr="00A260ED">
        <w:rPr>
          <w:rFonts w:ascii="Times New Roman" w:hAnsi="Times New Roman"/>
        </w:rPr>
        <w:noBreakHyphen/>
        <w:t>5: 8.7%).</w:t>
      </w:r>
    </w:p>
    <w:p w14:paraId="5EA6F75C" w14:textId="77777777" w:rsidR="00B6112F" w:rsidRPr="00A260ED" w:rsidRDefault="00B6112F" w:rsidP="001D3B41">
      <w:pPr>
        <w:pStyle w:val="J1"/>
        <w:rPr>
          <w:rFonts w:ascii="Times New Roman" w:eastAsia="MS Mincho" w:hAnsi="Times New Roman"/>
        </w:rPr>
      </w:pPr>
      <w:r w:rsidRPr="00A260ED">
        <w:rPr>
          <w:rFonts w:ascii="Times New Roman" w:eastAsia="MS Mincho" w:hAnsi="Times New Roman"/>
          <w:i/>
        </w:rPr>
        <w:t>Common</w:t>
      </w:r>
      <w:r w:rsidRPr="00A260ED">
        <w:rPr>
          <w:rFonts w:ascii="Times New Roman" w:eastAsia="MS Mincho" w:hAnsi="Times New Roman"/>
        </w:rPr>
        <w:t>: Lymph node pain, neutrophil count decreased, white blood cell count decreased</w:t>
      </w:r>
      <w:r w:rsidRPr="00A260ED">
        <w:rPr>
          <w:rFonts w:ascii="Times New Roman" w:hAnsi="Times New Roman"/>
        </w:rPr>
        <w:t>, febrile neutropenia</w:t>
      </w:r>
      <w:r w:rsidRPr="00A260ED">
        <w:rPr>
          <w:rFonts w:ascii="Times New Roman" w:eastAsia="MS Mincho" w:hAnsi="Times New Roman"/>
        </w:rPr>
        <w:t>.</w:t>
      </w:r>
    </w:p>
    <w:p w14:paraId="466C6E72" w14:textId="77777777" w:rsidR="00B6112F" w:rsidRPr="00A260ED" w:rsidRDefault="00B6112F" w:rsidP="00EB2A24">
      <w:pPr>
        <w:pStyle w:val="Heading4"/>
        <w:numPr>
          <w:ilvl w:val="0"/>
          <w:numId w:val="0"/>
        </w:numPr>
        <w:ind w:left="1134" w:hanging="1134"/>
        <w:rPr>
          <w:rFonts w:ascii="Times New Roman" w:eastAsia="MS Mincho" w:hAnsi="Times New Roman"/>
          <w:b w:val="0"/>
          <w:sz w:val="22"/>
          <w:lang w:val="en-GB"/>
        </w:rPr>
      </w:pPr>
      <w:r w:rsidRPr="00A260ED">
        <w:rPr>
          <w:rFonts w:ascii="Times New Roman" w:eastAsia="MS Mincho" w:hAnsi="Times New Roman"/>
          <w:sz w:val="22"/>
          <w:lang w:val="en-GB"/>
        </w:rPr>
        <w:t>Immune system disorders</w:t>
      </w:r>
    </w:p>
    <w:p w14:paraId="48D5E614"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i/>
        </w:rPr>
        <w:t>Isolated cases</w:t>
      </w:r>
      <w:r w:rsidRPr="00A260ED">
        <w:rPr>
          <w:rFonts w:ascii="Times New Roman" w:eastAsia="MS Mincho" w:hAnsi="Times New Roman"/>
        </w:rPr>
        <w:t>: Anaphylaxis.</w:t>
      </w:r>
    </w:p>
    <w:p w14:paraId="50E85EDD" w14:textId="77777777" w:rsidR="00B6112F" w:rsidRPr="00A260ED" w:rsidRDefault="00B6112F" w:rsidP="00EB2A24">
      <w:pPr>
        <w:pStyle w:val="Heading4"/>
        <w:numPr>
          <w:ilvl w:val="0"/>
          <w:numId w:val="0"/>
        </w:numPr>
        <w:ind w:left="1134" w:hanging="1134"/>
        <w:rPr>
          <w:rFonts w:ascii="Times New Roman" w:eastAsia="MS Mincho" w:hAnsi="Times New Roman"/>
          <w:b w:val="0"/>
          <w:sz w:val="22"/>
          <w:lang w:val="en-GB"/>
        </w:rPr>
      </w:pPr>
      <w:r w:rsidRPr="00A260ED">
        <w:rPr>
          <w:rFonts w:ascii="Times New Roman" w:eastAsia="MS Mincho" w:hAnsi="Times New Roman"/>
          <w:sz w:val="22"/>
          <w:lang w:val="en-GB"/>
        </w:rPr>
        <w:t>Metabolism and nutrition disorders</w:t>
      </w:r>
    </w:p>
    <w:p w14:paraId="7D8C16B4"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i/>
        </w:rPr>
        <w:t>Common</w:t>
      </w:r>
      <w:r w:rsidRPr="00A260ED">
        <w:rPr>
          <w:rFonts w:ascii="Times New Roman" w:eastAsia="MS Mincho" w:hAnsi="Times New Roman"/>
        </w:rPr>
        <w:t xml:space="preserve">: </w:t>
      </w:r>
      <w:r w:rsidRPr="00A260ED">
        <w:rPr>
          <w:rFonts w:ascii="Times New Roman" w:hAnsi="Times New Roman"/>
        </w:rPr>
        <w:t>Hypokalaemia</w:t>
      </w:r>
      <w:r w:rsidRPr="00A260ED">
        <w:rPr>
          <w:rFonts w:ascii="Times New Roman" w:eastAsia="MS Mincho" w:hAnsi="Times New Roman"/>
        </w:rPr>
        <w:t xml:space="preserve">, tumour lysis syndrome, </w:t>
      </w:r>
      <w:r w:rsidRPr="00A260ED">
        <w:rPr>
          <w:rFonts w:ascii="Times New Roman" w:hAnsi="Times New Roman"/>
        </w:rPr>
        <w:t>hyperuricaemia</w:t>
      </w:r>
      <w:r w:rsidRPr="00A260ED">
        <w:rPr>
          <w:rFonts w:ascii="Times New Roman" w:eastAsia="MS Mincho" w:hAnsi="Times New Roman"/>
        </w:rPr>
        <w:t>.</w:t>
      </w:r>
    </w:p>
    <w:p w14:paraId="024FF01B" w14:textId="77777777" w:rsidR="00B6112F" w:rsidRPr="00A260ED" w:rsidRDefault="00B6112F" w:rsidP="00EB2A24">
      <w:pPr>
        <w:pStyle w:val="Heading4"/>
        <w:numPr>
          <w:ilvl w:val="0"/>
          <w:numId w:val="0"/>
        </w:numPr>
        <w:ind w:left="1134" w:hanging="1134"/>
        <w:rPr>
          <w:rFonts w:ascii="Times New Roman" w:eastAsia="MS Mincho" w:hAnsi="Times New Roman"/>
          <w:b w:val="0"/>
          <w:sz w:val="22"/>
          <w:lang w:val="en-GB"/>
        </w:rPr>
      </w:pPr>
      <w:r w:rsidRPr="00A260ED">
        <w:rPr>
          <w:rFonts w:ascii="Times New Roman" w:eastAsia="MS Mincho" w:hAnsi="Times New Roman"/>
          <w:sz w:val="22"/>
          <w:lang w:val="en-GB"/>
        </w:rPr>
        <w:t>Psychiatric disorders</w:t>
      </w:r>
    </w:p>
    <w:p w14:paraId="4FBAE0E6" w14:textId="77777777" w:rsidR="00B6112F" w:rsidRPr="00A260ED" w:rsidRDefault="00B6112F">
      <w:pPr>
        <w:pStyle w:val="J1"/>
        <w:rPr>
          <w:rFonts w:ascii="Times New Roman" w:hAnsi="Times New Roman"/>
        </w:rPr>
      </w:pPr>
      <w:r w:rsidRPr="00A260ED">
        <w:rPr>
          <w:rFonts w:ascii="Times New Roman" w:hAnsi="Times New Roman"/>
          <w:i/>
        </w:rPr>
        <w:t>Very common</w:t>
      </w:r>
      <w:r w:rsidRPr="00A260ED">
        <w:rPr>
          <w:rFonts w:ascii="Times New Roman" w:hAnsi="Times New Roman"/>
        </w:rPr>
        <w:t>: Insomnia (all grades: 14.3%, grade 3</w:t>
      </w:r>
      <w:r w:rsidRPr="00A260ED">
        <w:rPr>
          <w:rFonts w:ascii="Times New Roman" w:hAnsi="Times New Roman"/>
        </w:rPr>
        <w:noBreakHyphen/>
        <w:t>5: &lt;1%).</w:t>
      </w:r>
    </w:p>
    <w:p w14:paraId="4F52AE06"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i/>
        </w:rPr>
        <w:t>Common</w:t>
      </w:r>
      <w:r w:rsidRPr="00A260ED">
        <w:rPr>
          <w:rFonts w:ascii="Times New Roman" w:eastAsia="MS Mincho" w:hAnsi="Times New Roman"/>
        </w:rPr>
        <w:t>: Depression, anxiety.</w:t>
      </w:r>
    </w:p>
    <w:p w14:paraId="31EAFE30" w14:textId="77777777" w:rsidR="00B6112F" w:rsidRPr="00A260ED" w:rsidRDefault="00B6112F" w:rsidP="00EB2A24">
      <w:pPr>
        <w:pStyle w:val="Heading4"/>
        <w:numPr>
          <w:ilvl w:val="0"/>
          <w:numId w:val="0"/>
        </w:numPr>
        <w:ind w:left="1134" w:hanging="1134"/>
        <w:rPr>
          <w:rFonts w:ascii="Times New Roman" w:eastAsia="MS Mincho" w:hAnsi="Times New Roman"/>
          <w:b w:val="0"/>
          <w:sz w:val="22"/>
          <w:lang w:val="en-GB"/>
        </w:rPr>
      </w:pPr>
      <w:r w:rsidRPr="00A260ED">
        <w:rPr>
          <w:rFonts w:ascii="Times New Roman" w:eastAsia="MS Mincho" w:hAnsi="Times New Roman"/>
          <w:sz w:val="22"/>
          <w:lang w:val="en-GB"/>
        </w:rPr>
        <w:t>Eye disorders</w:t>
      </w:r>
    </w:p>
    <w:p w14:paraId="1F264165" w14:textId="77777777" w:rsidR="00B6112F" w:rsidRPr="00A260ED" w:rsidRDefault="00B6112F" w:rsidP="00EB2A24">
      <w:pPr>
        <w:pStyle w:val="J1"/>
        <w:rPr>
          <w:rFonts w:ascii="Times New Roman" w:eastAsia="MS Mincho" w:hAnsi="Times New Roman"/>
        </w:rPr>
      </w:pPr>
      <w:r w:rsidRPr="00A260ED">
        <w:rPr>
          <w:rFonts w:ascii="Times New Roman" w:hAnsi="Times New Roman"/>
        </w:rPr>
        <w:t>Common</w:t>
      </w:r>
      <w:r w:rsidRPr="00A260ED">
        <w:rPr>
          <w:rFonts w:ascii="Times New Roman" w:eastAsia="MS Mincho" w:hAnsi="Times New Roman"/>
        </w:rPr>
        <w:t xml:space="preserve">: Ocular </w:t>
      </w:r>
      <w:r w:rsidRPr="00A260ED">
        <w:rPr>
          <w:rFonts w:ascii="Times New Roman" w:hAnsi="Times New Roman"/>
        </w:rPr>
        <w:t>hyperaemia*.</w:t>
      </w:r>
    </w:p>
    <w:p w14:paraId="19A77DE2" w14:textId="77777777" w:rsidR="00B6112F" w:rsidRPr="00A260ED" w:rsidRDefault="00B6112F" w:rsidP="00EB2A24">
      <w:pPr>
        <w:pStyle w:val="Heading4"/>
        <w:numPr>
          <w:ilvl w:val="0"/>
          <w:numId w:val="0"/>
        </w:numPr>
        <w:ind w:left="1134" w:hanging="1134"/>
        <w:rPr>
          <w:rFonts w:ascii="Times New Roman" w:eastAsia="MS Mincho" w:hAnsi="Times New Roman"/>
          <w:b w:val="0"/>
          <w:sz w:val="22"/>
          <w:lang w:val="en-GB"/>
        </w:rPr>
      </w:pPr>
      <w:r w:rsidRPr="00A260ED">
        <w:rPr>
          <w:rFonts w:ascii="Times New Roman" w:eastAsia="MS Mincho" w:hAnsi="Times New Roman"/>
          <w:sz w:val="22"/>
          <w:lang w:val="en-GB"/>
        </w:rPr>
        <w:lastRenderedPageBreak/>
        <w:t>Cardiac disorders</w:t>
      </w:r>
    </w:p>
    <w:p w14:paraId="499517CD" w14:textId="77777777" w:rsidR="00B6112F" w:rsidRPr="00A260ED" w:rsidRDefault="00B6112F" w:rsidP="001D3B41">
      <w:pPr>
        <w:pStyle w:val="J1"/>
        <w:rPr>
          <w:rFonts w:ascii="Times New Roman" w:eastAsia="MS Mincho" w:hAnsi="Times New Roman"/>
        </w:rPr>
      </w:pPr>
      <w:r w:rsidRPr="00A260ED">
        <w:rPr>
          <w:rFonts w:ascii="Times New Roman" w:eastAsia="MS Mincho" w:hAnsi="Times New Roman"/>
          <w:i/>
        </w:rPr>
        <w:t>Common</w:t>
      </w:r>
      <w:r w:rsidRPr="00A260ED">
        <w:rPr>
          <w:rFonts w:ascii="Times New Roman" w:eastAsia="MS Mincho" w:hAnsi="Times New Roman"/>
        </w:rPr>
        <w:t>: Atrial fibrillation, heart failure</w:t>
      </w:r>
      <w:r w:rsidRPr="00A260ED">
        <w:rPr>
          <w:rFonts w:ascii="Times New Roman" w:hAnsi="Times New Roman"/>
        </w:rPr>
        <w:t>*.</w:t>
      </w:r>
    </w:p>
    <w:p w14:paraId="77BEDEFF" w14:textId="77777777" w:rsidR="00B6112F" w:rsidRPr="00A260ED" w:rsidRDefault="00B6112F" w:rsidP="00EB2A24">
      <w:pPr>
        <w:pStyle w:val="Heading4"/>
        <w:numPr>
          <w:ilvl w:val="0"/>
          <w:numId w:val="0"/>
        </w:numPr>
        <w:ind w:left="1134" w:hanging="1134"/>
        <w:rPr>
          <w:rFonts w:ascii="Times New Roman" w:eastAsia="MS Mincho" w:hAnsi="Times New Roman"/>
          <w:b w:val="0"/>
          <w:sz w:val="22"/>
          <w:lang w:val="en-GB"/>
        </w:rPr>
      </w:pPr>
      <w:r w:rsidRPr="00A260ED">
        <w:rPr>
          <w:rFonts w:ascii="Times New Roman" w:eastAsia="MS Mincho" w:hAnsi="Times New Roman"/>
          <w:sz w:val="22"/>
          <w:lang w:val="en-GB"/>
        </w:rPr>
        <w:t>Vascular disorders</w:t>
      </w:r>
    </w:p>
    <w:p w14:paraId="707DE06F"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i/>
        </w:rPr>
        <w:t>Common</w:t>
      </w:r>
      <w:r w:rsidRPr="00A260ED">
        <w:rPr>
          <w:rFonts w:ascii="Times New Roman" w:eastAsia="MS Mincho" w:hAnsi="Times New Roman"/>
        </w:rPr>
        <w:t>: Hypertension.</w:t>
      </w:r>
    </w:p>
    <w:p w14:paraId="2817EFA5" w14:textId="77777777" w:rsidR="00B6112F" w:rsidRPr="00A260ED" w:rsidRDefault="00B6112F" w:rsidP="00EB2A24">
      <w:pPr>
        <w:pStyle w:val="Heading4"/>
        <w:numPr>
          <w:ilvl w:val="0"/>
          <w:numId w:val="0"/>
        </w:numPr>
        <w:ind w:left="1134" w:hanging="1134"/>
        <w:rPr>
          <w:rFonts w:ascii="Times New Roman" w:eastAsia="MS Mincho" w:hAnsi="Times New Roman"/>
          <w:b w:val="0"/>
          <w:sz w:val="22"/>
          <w:lang w:val="en-GB"/>
        </w:rPr>
      </w:pPr>
      <w:r w:rsidRPr="00A260ED">
        <w:rPr>
          <w:rFonts w:ascii="Times New Roman" w:eastAsia="MS Mincho" w:hAnsi="Times New Roman"/>
          <w:sz w:val="22"/>
          <w:lang w:val="en-GB"/>
        </w:rPr>
        <w:t>Respiratory, thoracic and mediastinal disorders</w:t>
      </w:r>
    </w:p>
    <w:p w14:paraId="39516761"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i/>
        </w:rPr>
        <w:t>Very common</w:t>
      </w:r>
      <w:r w:rsidRPr="00A260ED">
        <w:rPr>
          <w:rFonts w:ascii="Times New Roman" w:eastAsia="MS Mincho" w:hAnsi="Times New Roman"/>
        </w:rPr>
        <w:t>: Cough (all grades: 30.8%, grade 3</w:t>
      </w:r>
      <w:r w:rsidRPr="00A260ED">
        <w:rPr>
          <w:rFonts w:ascii="Times New Roman" w:hAnsi="Times New Roman"/>
        </w:rPr>
        <w:noBreakHyphen/>
      </w:r>
      <w:r w:rsidRPr="00A260ED">
        <w:rPr>
          <w:rFonts w:ascii="Times New Roman" w:eastAsia="MS Mincho" w:hAnsi="Times New Roman"/>
        </w:rPr>
        <w:t>5: &lt;1%).</w:t>
      </w:r>
    </w:p>
    <w:p w14:paraId="02F7D74C"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i/>
        </w:rPr>
        <w:t>Common</w:t>
      </w:r>
      <w:r w:rsidRPr="00A260ED">
        <w:rPr>
          <w:rFonts w:ascii="Times New Roman" w:eastAsia="MS Mincho" w:hAnsi="Times New Roman"/>
        </w:rPr>
        <w:t xml:space="preserve">: Nasal congestion, </w:t>
      </w:r>
      <w:r w:rsidRPr="00A260ED">
        <w:rPr>
          <w:rFonts w:ascii="Times New Roman" w:hAnsi="Times New Roman"/>
        </w:rPr>
        <w:t>rhinorrhoea</w:t>
      </w:r>
      <w:r w:rsidRPr="00A260ED">
        <w:rPr>
          <w:rFonts w:ascii="Times New Roman" w:eastAsia="MS Mincho" w:hAnsi="Times New Roman"/>
        </w:rPr>
        <w:t>, oropharyngeal pain.</w:t>
      </w:r>
    </w:p>
    <w:p w14:paraId="790B3707" w14:textId="77777777" w:rsidR="00B6112F" w:rsidRPr="00A260ED" w:rsidRDefault="00B6112F" w:rsidP="00EB2A24">
      <w:pPr>
        <w:pStyle w:val="Heading4"/>
        <w:numPr>
          <w:ilvl w:val="0"/>
          <w:numId w:val="0"/>
        </w:numPr>
        <w:ind w:left="1134" w:hanging="1134"/>
        <w:rPr>
          <w:rFonts w:ascii="Times New Roman" w:eastAsia="MS Mincho" w:hAnsi="Times New Roman"/>
          <w:b w:val="0"/>
          <w:sz w:val="22"/>
          <w:lang w:val="en-GB"/>
        </w:rPr>
      </w:pPr>
      <w:r w:rsidRPr="00A260ED">
        <w:rPr>
          <w:rFonts w:ascii="Times New Roman" w:eastAsia="MS Mincho" w:hAnsi="Times New Roman"/>
          <w:sz w:val="22"/>
          <w:lang w:val="en-GB"/>
        </w:rPr>
        <w:t>Gastrointestinal disorders</w:t>
      </w:r>
    </w:p>
    <w:p w14:paraId="3E4AFF22"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i/>
        </w:rPr>
        <w:t>Very common</w:t>
      </w:r>
      <w:r w:rsidRPr="00A260ED">
        <w:rPr>
          <w:rFonts w:ascii="Times New Roman" w:eastAsia="MS Mincho" w:hAnsi="Times New Roman"/>
        </w:rPr>
        <w:t>: Constipation (all grades: 32.4%, grade 3</w:t>
      </w:r>
      <w:r w:rsidRPr="00A260ED">
        <w:rPr>
          <w:rFonts w:ascii="Times New Roman" w:hAnsi="Times New Roman"/>
        </w:rPr>
        <w:noBreakHyphen/>
      </w:r>
      <w:r w:rsidRPr="00A260ED">
        <w:rPr>
          <w:rFonts w:ascii="Times New Roman" w:eastAsia="MS Mincho" w:hAnsi="Times New Roman"/>
        </w:rPr>
        <w:t xml:space="preserve">5: &lt;1%), </w:t>
      </w:r>
      <w:r w:rsidRPr="00A260ED">
        <w:rPr>
          <w:rFonts w:ascii="Times New Roman" w:hAnsi="Times New Roman"/>
        </w:rPr>
        <w:t>diarrhoea</w:t>
      </w:r>
      <w:r w:rsidRPr="00A260ED">
        <w:rPr>
          <w:rFonts w:ascii="Times New Roman" w:eastAsia="MS Mincho" w:hAnsi="Times New Roman"/>
        </w:rPr>
        <w:t xml:space="preserve"> (all grades: 28.4%, grade 3</w:t>
      </w:r>
      <w:r w:rsidRPr="00A260ED">
        <w:rPr>
          <w:rFonts w:ascii="Times New Roman" w:hAnsi="Times New Roman"/>
        </w:rPr>
        <w:noBreakHyphen/>
      </w:r>
      <w:r w:rsidRPr="00A260ED">
        <w:rPr>
          <w:rFonts w:ascii="Times New Roman" w:eastAsia="MS Mincho" w:hAnsi="Times New Roman"/>
        </w:rPr>
        <w:t>5: 2.5%).</w:t>
      </w:r>
    </w:p>
    <w:p w14:paraId="5E2A8202" w14:textId="77777777" w:rsidR="00B6112F" w:rsidRPr="00A260ED" w:rsidRDefault="00B6112F" w:rsidP="001D3B41">
      <w:pPr>
        <w:pStyle w:val="J1"/>
        <w:rPr>
          <w:rFonts w:ascii="Times New Roman" w:hAnsi="Times New Roman"/>
        </w:rPr>
      </w:pPr>
      <w:r w:rsidRPr="00A260ED">
        <w:rPr>
          <w:rFonts w:ascii="Times New Roman" w:hAnsi="Times New Roman"/>
          <w:i/>
        </w:rPr>
        <w:t>Common</w:t>
      </w:r>
      <w:r w:rsidRPr="00A260ED">
        <w:rPr>
          <w:rFonts w:ascii="Times New Roman" w:hAnsi="Times New Roman"/>
        </w:rPr>
        <w:t>: Dyspepsia, colitis*, haemorrhoids.</w:t>
      </w:r>
    </w:p>
    <w:p w14:paraId="1FCA6B95" w14:textId="77777777" w:rsidR="00B6112F" w:rsidRPr="00A260ED" w:rsidRDefault="00B6112F">
      <w:pPr>
        <w:pStyle w:val="J1"/>
        <w:rPr>
          <w:rFonts w:ascii="Times New Roman" w:hAnsi="Times New Roman"/>
        </w:rPr>
      </w:pPr>
      <w:r w:rsidRPr="00A260ED">
        <w:rPr>
          <w:rFonts w:ascii="Times New Roman" w:hAnsi="Times New Roman"/>
        </w:rPr>
        <w:t>Uncommon: Transaminase elevation*.</w:t>
      </w:r>
    </w:p>
    <w:p w14:paraId="338DF956" w14:textId="77777777" w:rsidR="00B6112F" w:rsidRPr="00A260ED" w:rsidRDefault="00B6112F" w:rsidP="00EB2A24">
      <w:pPr>
        <w:pStyle w:val="Heading4"/>
        <w:numPr>
          <w:ilvl w:val="0"/>
          <w:numId w:val="0"/>
        </w:numPr>
        <w:ind w:left="1134" w:hanging="1134"/>
        <w:rPr>
          <w:rFonts w:ascii="Times New Roman" w:eastAsia="MS Mincho" w:hAnsi="Times New Roman"/>
          <w:b w:val="0"/>
          <w:sz w:val="22"/>
          <w:lang w:val="en-GB"/>
        </w:rPr>
      </w:pPr>
      <w:r w:rsidRPr="00A260ED">
        <w:rPr>
          <w:rFonts w:ascii="Times New Roman" w:eastAsia="MS Mincho" w:hAnsi="Times New Roman"/>
          <w:sz w:val="22"/>
          <w:lang w:val="en-GB"/>
        </w:rPr>
        <w:t>Skin and subcutaneous tissue disorders</w:t>
      </w:r>
    </w:p>
    <w:p w14:paraId="68A339A6"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i/>
        </w:rPr>
        <w:t>Very common</w:t>
      </w:r>
      <w:r w:rsidRPr="00A260ED">
        <w:rPr>
          <w:rFonts w:ascii="Times New Roman" w:eastAsia="MS Mincho" w:hAnsi="Times New Roman"/>
        </w:rPr>
        <w:t>: Alopecia (all grades: 12.6%, grade 3</w:t>
      </w:r>
      <w:r w:rsidRPr="00A260ED">
        <w:rPr>
          <w:rFonts w:ascii="Times New Roman" w:hAnsi="Times New Roman"/>
        </w:rPr>
        <w:noBreakHyphen/>
      </w:r>
      <w:r w:rsidRPr="00A260ED">
        <w:rPr>
          <w:rFonts w:ascii="Times New Roman" w:eastAsia="MS Mincho" w:hAnsi="Times New Roman"/>
        </w:rPr>
        <w:t>5: 0%), pruritus (all grades 10.6%, grade 3</w:t>
      </w:r>
      <w:r w:rsidRPr="00A260ED">
        <w:rPr>
          <w:rFonts w:ascii="Times New Roman" w:hAnsi="Times New Roman"/>
        </w:rPr>
        <w:noBreakHyphen/>
      </w:r>
      <w:r w:rsidRPr="00A260ED">
        <w:rPr>
          <w:rFonts w:ascii="Times New Roman" w:eastAsia="MS Mincho" w:hAnsi="Times New Roman"/>
        </w:rPr>
        <w:t>5: &lt;1%).</w:t>
      </w:r>
    </w:p>
    <w:p w14:paraId="58E7743D" w14:textId="77777777" w:rsidR="00B6112F" w:rsidRPr="00A260ED" w:rsidRDefault="00B6112F" w:rsidP="001D3B41">
      <w:pPr>
        <w:pStyle w:val="J1"/>
        <w:rPr>
          <w:rFonts w:ascii="Times New Roman" w:eastAsia="MS Mincho" w:hAnsi="Times New Roman"/>
        </w:rPr>
      </w:pPr>
      <w:r w:rsidRPr="00A260ED">
        <w:rPr>
          <w:rFonts w:ascii="Times New Roman" w:eastAsia="MS Mincho" w:hAnsi="Times New Roman"/>
          <w:i/>
        </w:rPr>
        <w:t>Common</w:t>
      </w:r>
      <w:r w:rsidRPr="00A260ED">
        <w:rPr>
          <w:rFonts w:ascii="Times New Roman" w:eastAsia="MS Mincho" w:hAnsi="Times New Roman"/>
        </w:rPr>
        <w:t xml:space="preserve">: </w:t>
      </w:r>
      <w:r w:rsidRPr="00A260ED">
        <w:rPr>
          <w:rFonts w:ascii="Times New Roman" w:hAnsi="Times New Roman"/>
        </w:rPr>
        <w:t>Night</w:t>
      </w:r>
      <w:r w:rsidRPr="00A260ED">
        <w:rPr>
          <w:rFonts w:ascii="Times New Roman" w:eastAsia="MS Mincho" w:hAnsi="Times New Roman"/>
        </w:rPr>
        <w:t xml:space="preserve"> sweats</w:t>
      </w:r>
      <w:r w:rsidRPr="00A260ED">
        <w:rPr>
          <w:rFonts w:ascii="Times New Roman" w:hAnsi="Times New Roman"/>
        </w:rPr>
        <w:t>*,</w:t>
      </w:r>
      <w:r w:rsidRPr="00A260ED">
        <w:rPr>
          <w:rFonts w:ascii="Times New Roman" w:eastAsia="MS Mincho" w:hAnsi="Times New Roman"/>
        </w:rPr>
        <w:t xml:space="preserve"> eczema.</w:t>
      </w:r>
    </w:p>
    <w:p w14:paraId="42632752" w14:textId="77777777" w:rsidR="00B6112F" w:rsidRPr="00A260ED" w:rsidRDefault="00B6112F" w:rsidP="00EB2A24">
      <w:pPr>
        <w:pStyle w:val="Heading4"/>
        <w:numPr>
          <w:ilvl w:val="0"/>
          <w:numId w:val="0"/>
        </w:numPr>
        <w:ind w:left="1134" w:hanging="1134"/>
        <w:rPr>
          <w:rFonts w:ascii="Times New Roman" w:eastAsia="MS Mincho" w:hAnsi="Times New Roman"/>
          <w:b w:val="0"/>
          <w:sz w:val="22"/>
          <w:lang w:val="en-GB"/>
        </w:rPr>
      </w:pPr>
      <w:r w:rsidRPr="00A260ED">
        <w:rPr>
          <w:rFonts w:ascii="Times New Roman" w:eastAsia="MS Mincho" w:hAnsi="Times New Roman"/>
          <w:sz w:val="22"/>
          <w:lang w:val="en-GB"/>
        </w:rPr>
        <w:t>Musculoskeletal and connective tissue disorders</w:t>
      </w:r>
    </w:p>
    <w:p w14:paraId="70E8427D" w14:textId="77777777" w:rsidR="00B6112F" w:rsidRPr="00A260ED" w:rsidRDefault="00B6112F" w:rsidP="001D3B41">
      <w:pPr>
        <w:pStyle w:val="J1"/>
        <w:rPr>
          <w:rFonts w:ascii="Times New Roman" w:eastAsia="MS Mincho" w:hAnsi="Times New Roman"/>
        </w:rPr>
      </w:pPr>
      <w:r w:rsidRPr="00A260ED">
        <w:rPr>
          <w:rFonts w:ascii="Times New Roman" w:eastAsia="MS Mincho" w:hAnsi="Times New Roman"/>
          <w:i/>
        </w:rPr>
        <w:t>Very common</w:t>
      </w:r>
      <w:r w:rsidRPr="00A260ED">
        <w:rPr>
          <w:rFonts w:ascii="Times New Roman" w:eastAsia="MS Mincho" w:hAnsi="Times New Roman"/>
        </w:rPr>
        <w:t>: Arthralgia (all grades: 15.9%, grade 3</w:t>
      </w:r>
      <w:r w:rsidRPr="00A260ED">
        <w:rPr>
          <w:rFonts w:ascii="Times New Roman" w:hAnsi="Times New Roman"/>
        </w:rPr>
        <w:noBreakHyphen/>
      </w:r>
      <w:r w:rsidRPr="00A260ED">
        <w:rPr>
          <w:rFonts w:ascii="Times New Roman" w:eastAsia="MS Mincho" w:hAnsi="Times New Roman"/>
        </w:rPr>
        <w:t>5: &lt;1%), back pain (all grades: 13.5%, grade 3</w:t>
      </w:r>
      <w:r w:rsidRPr="00A260ED">
        <w:rPr>
          <w:rFonts w:ascii="Times New Roman" w:hAnsi="Times New Roman"/>
        </w:rPr>
        <w:noBreakHyphen/>
      </w:r>
      <w:r w:rsidRPr="00A260ED">
        <w:rPr>
          <w:rFonts w:ascii="Times New Roman" w:eastAsia="MS Mincho" w:hAnsi="Times New Roman"/>
        </w:rPr>
        <w:t>5: &lt;1</w:t>
      </w:r>
      <w:r w:rsidRPr="00A260ED">
        <w:rPr>
          <w:rFonts w:ascii="Times New Roman" w:hAnsi="Times New Roman"/>
        </w:rPr>
        <w:t>%), pain in extremity (all grades: 10.3%, grade 3</w:t>
      </w:r>
      <w:r w:rsidRPr="00A260ED">
        <w:rPr>
          <w:rFonts w:ascii="Times New Roman" w:hAnsi="Times New Roman"/>
        </w:rPr>
        <w:noBreakHyphen/>
        <w:t>5: 1%).</w:t>
      </w:r>
    </w:p>
    <w:p w14:paraId="194B9D1D"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i/>
        </w:rPr>
        <w:t>Common</w:t>
      </w:r>
      <w:r w:rsidRPr="00A260ED">
        <w:rPr>
          <w:rFonts w:ascii="Times New Roman" w:eastAsia="MS Mincho" w:hAnsi="Times New Roman"/>
        </w:rPr>
        <w:t>: Musculoskeletal chest pain, bone pain.</w:t>
      </w:r>
    </w:p>
    <w:p w14:paraId="04D72400" w14:textId="77777777" w:rsidR="00B6112F" w:rsidRPr="00A260ED" w:rsidRDefault="00B6112F" w:rsidP="007A70CF">
      <w:pPr>
        <w:pStyle w:val="Heading4"/>
        <w:numPr>
          <w:ilvl w:val="0"/>
          <w:numId w:val="0"/>
        </w:numPr>
        <w:ind w:left="1134" w:hanging="1134"/>
        <w:rPr>
          <w:rFonts w:ascii="Times New Roman" w:hAnsi="Times New Roman"/>
          <w:i w:val="0"/>
          <w:sz w:val="22"/>
        </w:rPr>
      </w:pPr>
      <w:r w:rsidRPr="00A260ED">
        <w:rPr>
          <w:rFonts w:ascii="Times New Roman" w:hAnsi="Times New Roman"/>
          <w:b w:val="0"/>
          <w:sz w:val="22"/>
        </w:rPr>
        <w:t>Nervous system disorders</w:t>
      </w:r>
    </w:p>
    <w:p w14:paraId="4C8CCBE5" w14:textId="77777777" w:rsidR="00B6112F" w:rsidRPr="00A260ED" w:rsidRDefault="00B6112F">
      <w:pPr>
        <w:pStyle w:val="J1"/>
        <w:rPr>
          <w:rFonts w:ascii="Times New Roman" w:hAnsi="Times New Roman"/>
        </w:rPr>
      </w:pPr>
      <w:r w:rsidRPr="00A260ED">
        <w:rPr>
          <w:rFonts w:ascii="Times New Roman" w:hAnsi="Times New Roman"/>
          <w:i/>
        </w:rPr>
        <w:t>Very common</w:t>
      </w:r>
      <w:r w:rsidRPr="00A260ED">
        <w:rPr>
          <w:rFonts w:ascii="Times New Roman" w:hAnsi="Times New Roman"/>
        </w:rPr>
        <w:t>: Headache (all grades: 16.8%, grade 3</w:t>
      </w:r>
      <w:r w:rsidRPr="00A260ED">
        <w:rPr>
          <w:rFonts w:ascii="Times New Roman" w:hAnsi="Times New Roman"/>
        </w:rPr>
        <w:noBreakHyphen/>
        <w:t>5: &lt;1%).</w:t>
      </w:r>
    </w:p>
    <w:p w14:paraId="5076FD5C" w14:textId="77777777" w:rsidR="00B6112F" w:rsidRPr="00A260ED" w:rsidRDefault="00B6112F" w:rsidP="00EB2A24">
      <w:pPr>
        <w:pStyle w:val="Heading4"/>
        <w:numPr>
          <w:ilvl w:val="0"/>
          <w:numId w:val="0"/>
        </w:numPr>
        <w:ind w:left="1134" w:hanging="1134"/>
        <w:rPr>
          <w:rFonts w:ascii="Times New Roman" w:eastAsia="MS Mincho" w:hAnsi="Times New Roman"/>
          <w:b w:val="0"/>
          <w:sz w:val="22"/>
          <w:lang w:val="en-GB"/>
        </w:rPr>
      </w:pPr>
      <w:r w:rsidRPr="00A260ED">
        <w:rPr>
          <w:rFonts w:ascii="Times New Roman" w:eastAsia="MS Mincho" w:hAnsi="Times New Roman"/>
          <w:sz w:val="22"/>
          <w:lang w:val="en-GB"/>
        </w:rPr>
        <w:t>Renal and urinary disorders</w:t>
      </w:r>
    </w:p>
    <w:p w14:paraId="7FE2A535"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i/>
        </w:rPr>
        <w:t>Common</w:t>
      </w:r>
      <w:r w:rsidRPr="00A260ED">
        <w:rPr>
          <w:rFonts w:ascii="Times New Roman" w:eastAsia="MS Mincho" w:hAnsi="Times New Roman"/>
        </w:rPr>
        <w:t>: Dysuria, urinary incontinence.</w:t>
      </w:r>
    </w:p>
    <w:p w14:paraId="34E8ECF2" w14:textId="77777777" w:rsidR="00B6112F" w:rsidRPr="00A260ED" w:rsidRDefault="00B6112F" w:rsidP="00EB2A24">
      <w:pPr>
        <w:pStyle w:val="Heading4"/>
        <w:numPr>
          <w:ilvl w:val="0"/>
          <w:numId w:val="0"/>
        </w:numPr>
        <w:ind w:left="1134" w:hanging="1134"/>
        <w:rPr>
          <w:rFonts w:ascii="Times New Roman" w:eastAsia="MS Mincho" w:hAnsi="Times New Roman"/>
          <w:b w:val="0"/>
          <w:sz w:val="22"/>
          <w:lang w:val="en-GB"/>
        </w:rPr>
      </w:pPr>
      <w:r w:rsidRPr="00A260ED">
        <w:rPr>
          <w:rFonts w:ascii="Times New Roman" w:eastAsia="MS Mincho" w:hAnsi="Times New Roman"/>
          <w:sz w:val="22"/>
          <w:lang w:val="en-GB"/>
        </w:rPr>
        <w:t>General disorders and administration site conditions</w:t>
      </w:r>
    </w:p>
    <w:p w14:paraId="66D6E225" w14:textId="77777777" w:rsidR="00B6112F" w:rsidRPr="00A260ED" w:rsidRDefault="00B6112F" w:rsidP="001D3B41">
      <w:pPr>
        <w:pStyle w:val="J1"/>
        <w:rPr>
          <w:rFonts w:ascii="Times New Roman" w:hAnsi="Times New Roman"/>
        </w:rPr>
      </w:pPr>
      <w:r w:rsidRPr="00A260ED">
        <w:rPr>
          <w:rFonts w:ascii="Times New Roman" w:hAnsi="Times New Roman"/>
          <w:i/>
        </w:rPr>
        <w:t>Very common</w:t>
      </w:r>
      <w:r w:rsidRPr="00A260ED">
        <w:rPr>
          <w:rFonts w:ascii="Times New Roman" w:hAnsi="Times New Roman"/>
        </w:rPr>
        <w:t>: Pyrexia (all grades: 20.3%, grade 3</w:t>
      </w:r>
      <w:r w:rsidRPr="00A260ED">
        <w:rPr>
          <w:rFonts w:ascii="Times New Roman" w:hAnsi="Times New Roman"/>
        </w:rPr>
        <w:noBreakHyphen/>
        <w:t>5: 2.4%), infusion reactions (all grades: 71.6%, grade 3</w:t>
      </w:r>
      <w:r w:rsidRPr="00A260ED">
        <w:rPr>
          <w:rFonts w:ascii="Times New Roman" w:hAnsi="Times New Roman"/>
        </w:rPr>
        <w:noBreakHyphen/>
        <w:t>5: 21.2%), asthenia (all grades: 11.8%, grade 3</w:t>
      </w:r>
      <w:r w:rsidRPr="00A260ED">
        <w:rPr>
          <w:rFonts w:ascii="Times New Roman" w:hAnsi="Times New Roman"/>
        </w:rPr>
        <w:noBreakHyphen/>
        <w:t>5: 1.0%), fatigue (all grades 34.0%, grade 3</w:t>
      </w:r>
      <w:r w:rsidRPr="00A260ED">
        <w:rPr>
          <w:rFonts w:ascii="Times New Roman" w:hAnsi="Times New Roman"/>
        </w:rPr>
        <w:noBreakHyphen/>
        <w:t>5: 2.5%).</w:t>
      </w:r>
    </w:p>
    <w:p w14:paraId="5CAE844D" w14:textId="77777777" w:rsidR="00B6112F" w:rsidRPr="00A260ED" w:rsidRDefault="00B6112F" w:rsidP="00EB2A24">
      <w:pPr>
        <w:pStyle w:val="J1"/>
        <w:rPr>
          <w:rFonts w:ascii="Times New Roman" w:hAnsi="Times New Roman"/>
        </w:rPr>
      </w:pPr>
      <w:r w:rsidRPr="00A260ED">
        <w:rPr>
          <w:rFonts w:ascii="Times New Roman" w:hAnsi="Times New Roman"/>
          <w:i/>
        </w:rPr>
        <w:t>Common</w:t>
      </w:r>
      <w:r w:rsidRPr="00A260ED">
        <w:rPr>
          <w:rFonts w:ascii="Times New Roman" w:hAnsi="Times New Roman"/>
        </w:rPr>
        <w:t>: Chest pain.</w:t>
      </w:r>
    </w:p>
    <w:p w14:paraId="2E16562A" w14:textId="77777777" w:rsidR="00B6112F" w:rsidRPr="00A260ED" w:rsidRDefault="00B6112F" w:rsidP="00EB2A24">
      <w:pPr>
        <w:pStyle w:val="Heading4"/>
        <w:numPr>
          <w:ilvl w:val="0"/>
          <w:numId w:val="0"/>
        </w:numPr>
        <w:ind w:left="1134" w:hanging="1134"/>
        <w:rPr>
          <w:rFonts w:ascii="Times New Roman" w:hAnsi="Times New Roman"/>
          <w:b w:val="0"/>
          <w:i w:val="0"/>
          <w:sz w:val="22"/>
        </w:rPr>
      </w:pPr>
      <w:r w:rsidRPr="00A260ED">
        <w:rPr>
          <w:rFonts w:ascii="Times New Roman" w:hAnsi="Times New Roman"/>
          <w:sz w:val="22"/>
        </w:rPr>
        <w:t>Investigations</w:t>
      </w:r>
    </w:p>
    <w:p w14:paraId="29F45B15"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i/>
        </w:rPr>
        <w:t>Common</w:t>
      </w:r>
      <w:r w:rsidRPr="00A260ED">
        <w:rPr>
          <w:rFonts w:ascii="Times New Roman" w:eastAsia="MS Mincho" w:hAnsi="Times New Roman"/>
        </w:rPr>
        <w:t>: Weight increased.</w:t>
      </w:r>
    </w:p>
    <w:p w14:paraId="1E56F598" w14:textId="77777777" w:rsidR="00B6112F" w:rsidRPr="00A260ED" w:rsidRDefault="00B6112F">
      <w:pPr>
        <w:pStyle w:val="J2"/>
        <w:rPr>
          <w:rFonts w:ascii="Times New Roman" w:hAnsi="Times New Roman"/>
        </w:rPr>
      </w:pPr>
      <w:r w:rsidRPr="00A260ED">
        <w:rPr>
          <w:rFonts w:ascii="Times New Roman" w:hAnsi="Times New Roman"/>
        </w:rPr>
        <w:t>*In the primary analysis of study GAO4753g/GO01297 the incidence versus the comparator was ≥2%, but was &lt;2% in the final analysis.</w:t>
      </w:r>
    </w:p>
    <w:p w14:paraId="09188E35" w14:textId="77777777" w:rsidR="00B6112F" w:rsidRPr="00A260ED" w:rsidRDefault="00B6112F" w:rsidP="00EB2A24">
      <w:pPr>
        <w:pStyle w:val="Heading6"/>
        <w:numPr>
          <w:ilvl w:val="0"/>
          <w:numId w:val="0"/>
        </w:numPr>
        <w:ind w:left="1701" w:hanging="1701"/>
        <w:rPr>
          <w:rFonts w:ascii="Times New Roman" w:eastAsia="MS Mincho" w:hAnsi="Times New Roman"/>
          <w:b w:val="0"/>
          <w:i w:val="0"/>
          <w:sz w:val="22"/>
          <w:lang w:val="en-GB"/>
        </w:rPr>
      </w:pPr>
      <w:r w:rsidRPr="00A260ED">
        <w:rPr>
          <w:rFonts w:ascii="Times New Roman" w:eastAsia="MS Mincho" w:hAnsi="Times New Roman"/>
          <w:sz w:val="22"/>
          <w:lang w:val="en-GB"/>
        </w:rPr>
        <w:t>Maintenance therapy in iNHL patients</w:t>
      </w:r>
    </w:p>
    <w:p w14:paraId="0E142D65" w14:textId="418C3A06" w:rsidR="00B6112F" w:rsidRPr="00A260ED" w:rsidRDefault="00B6112F" w:rsidP="003D4499">
      <w:pPr>
        <w:pStyle w:val="J1"/>
        <w:tabs>
          <w:tab w:val="left" w:pos="4590"/>
        </w:tabs>
        <w:rPr>
          <w:rFonts w:ascii="Times New Roman" w:eastAsia="MS Mincho" w:hAnsi="Times New Roman"/>
        </w:rPr>
      </w:pPr>
      <w:r w:rsidRPr="00A260ED">
        <w:rPr>
          <w:rFonts w:ascii="Times New Roman" w:eastAsia="MS Mincho" w:hAnsi="Times New Roman"/>
        </w:rPr>
        <w:t>In study GAO4753g, patients in the bendamustine arm received 6</w:t>
      </w:r>
      <w:r w:rsidRPr="00A260ED">
        <w:rPr>
          <w:rFonts w:ascii="Times New Roman" w:hAnsi="Times New Roman"/>
        </w:rPr>
        <w:t> </w:t>
      </w:r>
      <w:r w:rsidRPr="00A260ED">
        <w:rPr>
          <w:rFonts w:ascii="Times New Roman" w:eastAsia="MS Mincho" w:hAnsi="Times New Roman"/>
        </w:rPr>
        <w:t xml:space="preserve">months of induction treatment only, whereas after the induction period, patients in the </w:t>
      </w:r>
      <w:r w:rsidR="007F720C">
        <w:rPr>
          <w:rFonts w:ascii="Times New Roman" w:eastAsia="MS Mincho" w:hAnsi="Times New Roman"/>
        </w:rPr>
        <w:t>Gazyvaro</w:t>
      </w:r>
      <w:r w:rsidRPr="00A260ED">
        <w:rPr>
          <w:rFonts w:ascii="Times New Roman" w:eastAsia="MS Mincho" w:hAnsi="Times New Roman"/>
        </w:rPr>
        <w:t xml:space="preserve"> plus bendamustine arm received maintenance treatment with </w:t>
      </w:r>
      <w:r w:rsidR="007F720C">
        <w:rPr>
          <w:rFonts w:ascii="Times New Roman" w:eastAsia="MS Mincho" w:hAnsi="Times New Roman"/>
        </w:rPr>
        <w:t>Gazyvaro</w:t>
      </w:r>
      <w:r w:rsidRPr="00A260ED">
        <w:rPr>
          <w:rFonts w:ascii="Times New Roman" w:eastAsia="MS Mincho" w:hAnsi="Times New Roman"/>
        </w:rPr>
        <w:t xml:space="preserve">. During the maintenance period with </w:t>
      </w:r>
      <w:r w:rsidR="007F720C">
        <w:rPr>
          <w:rFonts w:ascii="Times New Roman" w:eastAsia="MS Mincho" w:hAnsi="Times New Roman"/>
        </w:rPr>
        <w:t>Gazyvaro</w:t>
      </w:r>
      <w:r w:rsidRPr="00A260ED">
        <w:rPr>
          <w:rFonts w:ascii="Times New Roman" w:eastAsia="MS Mincho" w:hAnsi="Times New Roman"/>
        </w:rPr>
        <w:t>, the most common adverse reactions were cough (</w:t>
      </w:r>
      <w:r w:rsidRPr="00A260ED">
        <w:rPr>
          <w:rFonts w:ascii="Times New Roman" w:hAnsi="Times New Roman"/>
        </w:rPr>
        <w:t>20.3%), neutropenia (12</w:t>
      </w:r>
      <w:r w:rsidRPr="00A260ED">
        <w:rPr>
          <w:rFonts w:ascii="Times New Roman" w:eastAsia="MS Mincho" w:hAnsi="Times New Roman"/>
        </w:rPr>
        <w:t>.7</w:t>
      </w:r>
      <w:r w:rsidRPr="00A260ED">
        <w:rPr>
          <w:rFonts w:ascii="Times New Roman" w:hAnsi="Times New Roman"/>
        </w:rPr>
        <w:t>%),</w:t>
      </w:r>
      <w:r w:rsidRPr="00A260ED">
        <w:rPr>
          <w:rFonts w:ascii="Times New Roman" w:eastAsia="MS Mincho" w:hAnsi="Times New Roman"/>
        </w:rPr>
        <w:t xml:space="preserve"> upper respiratory tract infections (</w:t>
      </w:r>
      <w:r w:rsidRPr="00A260ED">
        <w:rPr>
          <w:rFonts w:ascii="Times New Roman" w:hAnsi="Times New Roman"/>
        </w:rPr>
        <w:t>12.0%), diarrhoea (</w:t>
      </w:r>
      <w:r w:rsidRPr="00A260ED">
        <w:rPr>
          <w:rFonts w:ascii="Times New Roman" w:eastAsia="MS Mincho" w:hAnsi="Times New Roman"/>
        </w:rPr>
        <w:t>10.</w:t>
      </w:r>
      <w:r w:rsidRPr="00A260ED">
        <w:rPr>
          <w:rFonts w:ascii="Times New Roman" w:hAnsi="Times New Roman"/>
        </w:rPr>
        <w:t>1%), bronchitis (9.</w:t>
      </w:r>
      <w:r w:rsidRPr="00A260ED">
        <w:rPr>
          <w:rFonts w:ascii="Times New Roman" w:eastAsia="MS Mincho" w:hAnsi="Times New Roman"/>
        </w:rPr>
        <w:t>5</w:t>
      </w:r>
      <w:r w:rsidRPr="00A260ED">
        <w:rPr>
          <w:rFonts w:ascii="Times New Roman" w:hAnsi="Times New Roman"/>
        </w:rPr>
        <w:t>%),</w:t>
      </w:r>
      <w:r w:rsidRPr="00A260ED">
        <w:rPr>
          <w:rFonts w:ascii="Times New Roman" w:eastAsia="MS Mincho" w:hAnsi="Times New Roman"/>
        </w:rPr>
        <w:t xml:space="preserve"> sinusitis (9.</w:t>
      </w:r>
      <w:r w:rsidRPr="00A260ED">
        <w:rPr>
          <w:rFonts w:ascii="Times New Roman" w:hAnsi="Times New Roman"/>
        </w:rPr>
        <w:t>5%), nausea (</w:t>
      </w:r>
      <w:r w:rsidRPr="00A260ED">
        <w:rPr>
          <w:rFonts w:ascii="Times New Roman" w:eastAsia="MS Mincho" w:hAnsi="Times New Roman"/>
        </w:rPr>
        <w:t>8</w:t>
      </w:r>
      <w:r w:rsidRPr="00A260ED">
        <w:rPr>
          <w:rFonts w:ascii="Times New Roman" w:hAnsi="Times New Roman"/>
        </w:rPr>
        <w:t>.9%), fatigue</w:t>
      </w:r>
      <w:r w:rsidRPr="00A260ED">
        <w:rPr>
          <w:rFonts w:ascii="Times New Roman" w:eastAsia="MS Mincho" w:hAnsi="Times New Roman"/>
        </w:rPr>
        <w:t xml:space="preserve"> (8.</w:t>
      </w:r>
      <w:r w:rsidRPr="00A260ED">
        <w:rPr>
          <w:rFonts w:ascii="Times New Roman" w:hAnsi="Times New Roman"/>
        </w:rPr>
        <w:t>9%),</w:t>
      </w:r>
      <w:r w:rsidRPr="00A260ED">
        <w:rPr>
          <w:rFonts w:ascii="Times New Roman" w:eastAsia="MS Mincho" w:hAnsi="Times New Roman"/>
        </w:rPr>
        <w:t xml:space="preserve"> infusion reactions (8.</w:t>
      </w:r>
      <w:r w:rsidRPr="00A260ED">
        <w:rPr>
          <w:rFonts w:ascii="Times New Roman" w:hAnsi="Times New Roman"/>
        </w:rPr>
        <w:t>2%),</w:t>
      </w:r>
      <w:r w:rsidRPr="00A260ED">
        <w:rPr>
          <w:rFonts w:ascii="Times New Roman" w:eastAsia="MS Mincho" w:hAnsi="Times New Roman"/>
        </w:rPr>
        <w:t xml:space="preserve"> urinary tract infections (</w:t>
      </w:r>
      <w:r w:rsidRPr="00A260ED">
        <w:rPr>
          <w:rFonts w:ascii="Times New Roman" w:hAnsi="Times New Roman"/>
        </w:rPr>
        <w:t>7.0%), nasopharyngitis (7.0%), pyrexia (7.0%), arthralgia (6.3%), vomiting (5.7%), rash (5.7%), pneumonia (5.1%), dyspnoea (5.1%)</w:t>
      </w:r>
      <w:r w:rsidRPr="00A260ED">
        <w:rPr>
          <w:rFonts w:ascii="Times New Roman" w:eastAsia="MS Mincho" w:hAnsi="Times New Roman"/>
        </w:rPr>
        <w:t xml:space="preserve"> and </w:t>
      </w:r>
      <w:r w:rsidRPr="00A260ED">
        <w:rPr>
          <w:rFonts w:ascii="Times New Roman" w:hAnsi="Times New Roman"/>
        </w:rPr>
        <w:t>pain in extremity</w:t>
      </w:r>
      <w:r w:rsidRPr="00A260ED">
        <w:rPr>
          <w:rFonts w:ascii="Times New Roman" w:eastAsia="MS Mincho" w:hAnsi="Times New Roman"/>
        </w:rPr>
        <w:t xml:space="preserve"> (5.</w:t>
      </w:r>
      <w:r w:rsidRPr="00A260ED">
        <w:rPr>
          <w:rFonts w:ascii="Times New Roman" w:hAnsi="Times New Roman"/>
        </w:rPr>
        <w:t>1%)</w:t>
      </w:r>
      <w:r w:rsidR="003D4499" w:rsidRPr="00A260ED">
        <w:rPr>
          <w:rStyle w:val="FootnoteReference"/>
          <w:rFonts w:ascii="Times New Roman" w:hAnsi="Times New Roman"/>
        </w:rPr>
        <w:t>.</w:t>
      </w:r>
    </w:p>
    <w:p w14:paraId="371E40A0" w14:textId="77777777" w:rsidR="00B6112F" w:rsidRPr="00A260ED" w:rsidRDefault="00B6112F" w:rsidP="003D4499">
      <w:pPr>
        <w:pStyle w:val="J2"/>
        <w:rPr>
          <w:rFonts w:ascii="Times New Roman" w:hAnsi="Times New Roman"/>
        </w:rPr>
      </w:pPr>
      <w:r w:rsidRPr="00A260ED">
        <w:rPr>
          <w:rFonts w:ascii="Times New Roman" w:hAnsi="Times New Roman"/>
        </w:rPr>
        <w:lastRenderedPageBreak/>
        <w:t>The most common grade 3</w:t>
      </w:r>
      <w:r w:rsidRPr="00A260ED">
        <w:rPr>
          <w:rFonts w:ascii="Times New Roman" w:hAnsi="Times New Roman"/>
        </w:rPr>
        <w:noBreakHyphen/>
        <w:t>5 adverse reactions observed during the maintenance period were neutropenia (10.8%), febrile neutropenia (1.9%), anaemia, thrombocytopenia, pneumonia, sepsis, upper respiratory tract infection and urinary tract infection (each 1.</w:t>
      </w:r>
      <w:r w:rsidR="00F37E87" w:rsidRPr="00A260ED">
        <w:rPr>
          <w:rFonts w:ascii="Times New Roman" w:hAnsi="Times New Roman"/>
        </w:rPr>
        <w:t xml:space="preserve">34 </w:t>
      </w:r>
      <w:r w:rsidRPr="00A260ED">
        <w:rPr>
          <w:rFonts w:ascii="Times New Roman" w:hAnsi="Times New Roman"/>
        </w:rPr>
        <w:t>%).</w:t>
      </w:r>
    </w:p>
    <w:p w14:paraId="1EA2182A" w14:textId="77777777" w:rsidR="00B6112F" w:rsidRPr="00A260ED" w:rsidRDefault="00B6112F" w:rsidP="00EB2A24">
      <w:pPr>
        <w:pStyle w:val="Heading4"/>
        <w:numPr>
          <w:ilvl w:val="0"/>
          <w:numId w:val="0"/>
        </w:numPr>
        <w:ind w:left="1134" w:hanging="1134"/>
        <w:rPr>
          <w:rFonts w:ascii="Times New Roman" w:eastAsia="MS Mincho" w:hAnsi="Times New Roman"/>
          <w:b w:val="0"/>
          <w:sz w:val="22"/>
          <w:lang w:val="en-GB"/>
        </w:rPr>
      </w:pPr>
      <w:r w:rsidRPr="00A260ED">
        <w:rPr>
          <w:rFonts w:ascii="Times New Roman" w:eastAsia="MS Mincho" w:hAnsi="Times New Roman"/>
          <w:sz w:val="22"/>
          <w:lang w:val="en-GB"/>
        </w:rPr>
        <w:t>Further information on selected adverse drug reactions</w:t>
      </w:r>
    </w:p>
    <w:p w14:paraId="4B85B529" w14:textId="77777777" w:rsidR="00B6112F" w:rsidRPr="00A260ED" w:rsidRDefault="00B6112F" w:rsidP="00EB2A24">
      <w:pPr>
        <w:pStyle w:val="Heading2a"/>
        <w:rPr>
          <w:rFonts w:ascii="Times New Roman" w:hAnsi="Times New Roman"/>
        </w:rPr>
      </w:pPr>
      <w:r w:rsidRPr="00A260ED">
        <w:rPr>
          <w:rFonts w:ascii="Times New Roman" w:hAnsi="Times New Roman"/>
        </w:rPr>
        <w:t>Infusion reactions (IRRs)</w:t>
      </w:r>
    </w:p>
    <w:p w14:paraId="6383BEAF"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The symptoms reported most frequently (≥5%) in association with an IRR were nausea, vomiting, </w:t>
      </w:r>
      <w:r w:rsidRPr="00A260ED">
        <w:rPr>
          <w:rFonts w:ascii="Times New Roman" w:hAnsi="Times New Roman"/>
        </w:rPr>
        <w:t>diarrhoea</w:t>
      </w:r>
      <w:r w:rsidRPr="00A260ED">
        <w:rPr>
          <w:rFonts w:ascii="Times New Roman" w:eastAsia="MS Mincho" w:hAnsi="Times New Roman"/>
        </w:rPr>
        <w:t xml:space="preserve">, headache, dizziness, fatigue, chills, pyrexia, hypotension, flushing, hypertension, tachycardia, </w:t>
      </w:r>
      <w:r w:rsidRPr="00A260ED">
        <w:rPr>
          <w:rFonts w:ascii="Times New Roman" w:hAnsi="Times New Roman"/>
        </w:rPr>
        <w:t>dyspnoea</w:t>
      </w:r>
      <w:r w:rsidRPr="00A260ED">
        <w:rPr>
          <w:rFonts w:ascii="Times New Roman" w:eastAsia="MS Mincho" w:hAnsi="Times New Roman"/>
        </w:rPr>
        <w:t xml:space="preserve"> and chest discomfort. Respiratory symptoms such as bronchospasm, larynx and throat irritation, wheezing, laryngeal </w:t>
      </w:r>
      <w:r w:rsidRPr="00A260ED">
        <w:rPr>
          <w:rFonts w:ascii="Times New Roman" w:hAnsi="Times New Roman"/>
        </w:rPr>
        <w:t>oedema</w:t>
      </w:r>
      <w:r w:rsidRPr="00A260ED">
        <w:rPr>
          <w:rFonts w:ascii="Times New Roman" w:eastAsia="MS Mincho" w:hAnsi="Times New Roman"/>
        </w:rPr>
        <w:t xml:space="preserve"> and cardiac symptoms such as atrial fibrillation have also been reported (see </w:t>
      </w:r>
      <w:r w:rsidRPr="00A260ED">
        <w:rPr>
          <w:rFonts w:ascii="Times New Roman" w:hAnsi="Times New Roman"/>
        </w:rPr>
        <w:t>“</w:t>
      </w:r>
      <w:r w:rsidRPr="00A260ED">
        <w:rPr>
          <w:rFonts w:ascii="Times New Roman" w:eastAsia="MS Mincho" w:hAnsi="Times New Roman"/>
        </w:rPr>
        <w:t>Warnings and precautions</w:t>
      </w:r>
      <w:r w:rsidRPr="00A260ED">
        <w:rPr>
          <w:rFonts w:ascii="Times New Roman" w:hAnsi="Times New Roman"/>
        </w:rPr>
        <w:t>”).</w:t>
      </w:r>
    </w:p>
    <w:p w14:paraId="503722C7" w14:textId="77777777" w:rsidR="00B6112F" w:rsidRPr="00A260ED" w:rsidRDefault="00B6112F" w:rsidP="00EB2A24">
      <w:pPr>
        <w:pStyle w:val="Heading2"/>
        <w:numPr>
          <w:ilvl w:val="0"/>
          <w:numId w:val="0"/>
        </w:numPr>
        <w:ind w:left="1134" w:hanging="1134"/>
        <w:rPr>
          <w:rFonts w:ascii="Times New Roman" w:eastAsia="MS Mincho" w:hAnsi="Times New Roman"/>
          <w:i/>
          <w:sz w:val="22"/>
          <w:lang w:val="en-GB"/>
        </w:rPr>
      </w:pPr>
      <w:r w:rsidRPr="00A260ED">
        <w:rPr>
          <w:rFonts w:ascii="Times New Roman" w:eastAsia="MS Mincho" w:hAnsi="Times New Roman"/>
          <w:sz w:val="22"/>
          <w:lang w:val="en-GB"/>
        </w:rPr>
        <w:t xml:space="preserve">Chronic lymphocytic </w:t>
      </w:r>
      <w:r w:rsidRPr="00A260ED">
        <w:rPr>
          <w:rFonts w:ascii="Times New Roman" w:hAnsi="Times New Roman"/>
          <w:sz w:val="22"/>
        </w:rPr>
        <w:t>leukaemia</w:t>
      </w:r>
    </w:p>
    <w:p w14:paraId="6E3E1903" w14:textId="65942FE4" w:rsidR="00B6112F" w:rsidRPr="00A260ED" w:rsidRDefault="00B6112F" w:rsidP="00051C36">
      <w:pPr>
        <w:pStyle w:val="J1"/>
        <w:rPr>
          <w:rFonts w:ascii="Times New Roman" w:eastAsia="MS Mincho" w:hAnsi="Times New Roman"/>
        </w:rPr>
      </w:pPr>
      <w:r w:rsidRPr="00A260ED">
        <w:rPr>
          <w:rFonts w:ascii="Times New Roman" w:eastAsia="MS Mincho" w:hAnsi="Times New Roman"/>
        </w:rPr>
        <w:t>The incidence of IRRs was 65% with the infusion of the first 1000</w:t>
      </w:r>
      <w:r w:rsidRPr="00A260ED">
        <w:rPr>
          <w:rFonts w:ascii="Times New Roman" w:hAnsi="Times New Roman"/>
        </w:rPr>
        <w:t xml:space="preserve"> </w:t>
      </w:r>
      <w:r w:rsidRPr="00A260ED">
        <w:rPr>
          <w:rFonts w:ascii="Times New Roman" w:eastAsia="MS Mincho" w:hAnsi="Times New Roman"/>
        </w:rPr>
        <w:t xml:space="preserve">mg of </w:t>
      </w:r>
      <w:r w:rsidR="007F720C">
        <w:rPr>
          <w:rFonts w:ascii="Times New Roman" w:eastAsia="MS Mincho" w:hAnsi="Times New Roman"/>
        </w:rPr>
        <w:t>Gazyvaro</w:t>
      </w:r>
      <w:r w:rsidRPr="00A260ED">
        <w:rPr>
          <w:rFonts w:ascii="Times New Roman" w:eastAsia="MS Mincho" w:hAnsi="Times New Roman"/>
        </w:rPr>
        <w:t xml:space="preserve"> (20% of patients experiencing a grade 3-4 IRR, with no fatal events reported). No grade 3</w:t>
      </w:r>
      <w:r w:rsidRPr="00A260ED">
        <w:rPr>
          <w:rFonts w:ascii="Times New Roman" w:hAnsi="Times New Roman"/>
        </w:rPr>
        <w:noBreakHyphen/>
      </w:r>
      <w:r w:rsidRPr="00A260ED">
        <w:rPr>
          <w:rFonts w:ascii="Times New Roman" w:eastAsia="MS Mincho" w:hAnsi="Times New Roman"/>
        </w:rPr>
        <w:t>4 IRRs were reported on infusion of the second 1000 mg or thereafter. Overall, 7% of patients experienced an IRR leading to discontinuation</w:t>
      </w:r>
      <w:r w:rsidR="00051C36" w:rsidRPr="00A260ED">
        <w:rPr>
          <w:rFonts w:ascii="Times New Roman" w:eastAsia="MS Mincho" w:hAnsi="Times New Roman"/>
        </w:rPr>
        <w:t xml:space="preserve"> </w:t>
      </w:r>
      <w:r w:rsidRPr="00A260ED">
        <w:rPr>
          <w:rFonts w:ascii="Times New Roman" w:eastAsia="MS Mincho" w:hAnsi="Times New Roman"/>
        </w:rPr>
        <w:t xml:space="preserve">of </w:t>
      </w:r>
      <w:r w:rsidR="007F720C">
        <w:rPr>
          <w:rFonts w:ascii="Times New Roman" w:eastAsia="MS Mincho" w:hAnsi="Times New Roman"/>
        </w:rPr>
        <w:t>Gazyvaro</w:t>
      </w:r>
      <w:r w:rsidRPr="00A260ED">
        <w:rPr>
          <w:rFonts w:ascii="Times New Roman" w:eastAsia="MS Mincho" w:hAnsi="Times New Roman"/>
        </w:rPr>
        <w:t>. The incidence of IRRs was 3% on infusion of the second 1000</w:t>
      </w:r>
      <w:r w:rsidRPr="00A260ED">
        <w:rPr>
          <w:rFonts w:ascii="Times New Roman" w:hAnsi="Times New Roman"/>
        </w:rPr>
        <w:t xml:space="preserve"> </w:t>
      </w:r>
      <w:r w:rsidRPr="00A260ED">
        <w:rPr>
          <w:rFonts w:ascii="Times New Roman" w:eastAsia="MS Mincho" w:hAnsi="Times New Roman"/>
        </w:rPr>
        <w:t xml:space="preserve">mg dose and 1% with the third and subsequent infusions. In patients who received the recommended measures for prevention of IRRs as described under </w:t>
      </w:r>
      <w:r w:rsidRPr="00A260ED">
        <w:rPr>
          <w:rFonts w:ascii="Times New Roman" w:hAnsi="Times New Roman"/>
        </w:rPr>
        <w:t>“</w:t>
      </w:r>
      <w:r w:rsidRPr="00A260ED">
        <w:rPr>
          <w:rFonts w:ascii="Times New Roman" w:eastAsia="MS Mincho" w:hAnsi="Times New Roman"/>
        </w:rPr>
        <w:t>Dosage</w:t>
      </w:r>
      <w:r w:rsidRPr="00A260ED">
        <w:rPr>
          <w:rFonts w:ascii="Times New Roman" w:hAnsi="Times New Roman"/>
        </w:rPr>
        <w:t>/Administration”,</w:t>
      </w:r>
      <w:r w:rsidRPr="00A260ED">
        <w:rPr>
          <w:rFonts w:ascii="Times New Roman" w:eastAsia="MS Mincho" w:hAnsi="Times New Roman"/>
        </w:rPr>
        <w:t xml:space="preserve"> a trend towards decreased incidence of all-grade IRRs was observed. These measures did not appear to reduce the incidence of grade 3</w:t>
      </w:r>
      <w:r w:rsidRPr="00A260ED">
        <w:rPr>
          <w:rFonts w:ascii="Times New Roman" w:hAnsi="Times New Roman"/>
        </w:rPr>
        <w:noBreakHyphen/>
      </w:r>
      <w:r w:rsidRPr="00A260ED">
        <w:rPr>
          <w:rFonts w:ascii="Times New Roman" w:eastAsia="MS Mincho" w:hAnsi="Times New Roman"/>
        </w:rPr>
        <w:t>4 IRRs.</w:t>
      </w:r>
    </w:p>
    <w:p w14:paraId="5F52776F" w14:textId="77777777" w:rsidR="00B6112F" w:rsidRPr="00A260ED" w:rsidRDefault="00B6112F" w:rsidP="00EB2A24">
      <w:pPr>
        <w:pStyle w:val="Heading2"/>
        <w:numPr>
          <w:ilvl w:val="0"/>
          <w:numId w:val="0"/>
        </w:numPr>
        <w:ind w:left="1134" w:hanging="1134"/>
        <w:rPr>
          <w:rFonts w:ascii="Times New Roman" w:eastAsia="MS Mincho" w:hAnsi="Times New Roman"/>
          <w:i/>
          <w:sz w:val="22"/>
          <w:lang w:val="en-GB"/>
        </w:rPr>
      </w:pPr>
      <w:r w:rsidRPr="00A260ED">
        <w:rPr>
          <w:rFonts w:ascii="Times New Roman" w:eastAsia="MS Mincho" w:hAnsi="Times New Roman"/>
          <w:sz w:val="22"/>
          <w:lang w:val="en-GB"/>
        </w:rPr>
        <w:t>Non-Hodgkin’s lymphoma (mainly FL)</w:t>
      </w:r>
    </w:p>
    <w:p w14:paraId="79BCB42A" w14:textId="61DEB9A1"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In cycle 1, the overall incidence of IRRs in patients treated with </w:t>
      </w:r>
      <w:r w:rsidR="007F720C">
        <w:rPr>
          <w:rFonts w:ascii="Times New Roman" w:eastAsia="MS Mincho" w:hAnsi="Times New Roman"/>
        </w:rPr>
        <w:t>Gazyvaro</w:t>
      </w:r>
      <w:r w:rsidRPr="00A260ED">
        <w:rPr>
          <w:rFonts w:ascii="Times New Roman" w:eastAsia="MS Mincho" w:hAnsi="Times New Roman"/>
        </w:rPr>
        <w:t xml:space="preserve"> plus chemotherapy was higher than that for patients in the comparator arm. In patients treated with </w:t>
      </w:r>
      <w:r w:rsidR="007F720C">
        <w:rPr>
          <w:rFonts w:ascii="Times New Roman" w:eastAsia="MS Mincho" w:hAnsi="Times New Roman"/>
        </w:rPr>
        <w:t>Gazyvaro</w:t>
      </w:r>
      <w:r w:rsidRPr="00A260ED">
        <w:rPr>
          <w:rFonts w:ascii="Times New Roman" w:eastAsia="MS Mincho" w:hAnsi="Times New Roman"/>
        </w:rPr>
        <w:t xml:space="preserve"> plus chemotherapy, the IRR incidence was highest on day</w:t>
      </w:r>
      <w:r w:rsidRPr="00A260ED">
        <w:rPr>
          <w:rFonts w:ascii="Times New Roman" w:hAnsi="Times New Roman"/>
        </w:rPr>
        <w:t> </w:t>
      </w:r>
      <w:r w:rsidRPr="00A260ED">
        <w:rPr>
          <w:rFonts w:ascii="Times New Roman" w:eastAsia="MS Mincho" w:hAnsi="Times New Roman"/>
        </w:rPr>
        <w:t xml:space="preserve">1 and gradually decreased with subsequent infusions. This downward trend continued during maintenance therapy with </w:t>
      </w:r>
      <w:r w:rsidR="007F720C">
        <w:rPr>
          <w:rFonts w:ascii="Times New Roman" w:eastAsia="MS Mincho" w:hAnsi="Times New Roman"/>
        </w:rPr>
        <w:t>Gazyvaro</w:t>
      </w:r>
      <w:r w:rsidRPr="00A260ED">
        <w:rPr>
          <w:rFonts w:ascii="Times New Roman" w:eastAsia="MS Mincho" w:hAnsi="Times New Roman"/>
        </w:rPr>
        <w:t xml:space="preserve">. Overall, </w:t>
      </w:r>
      <w:r w:rsidR="004144B4" w:rsidRPr="00A260ED">
        <w:rPr>
          <w:rFonts w:ascii="Times New Roman" w:hAnsi="Times New Roman"/>
        </w:rPr>
        <w:t>40</w:t>
      </w:r>
      <w:r w:rsidRPr="00A260ED">
        <w:rPr>
          <w:rFonts w:ascii="Times New Roman" w:eastAsia="MS Mincho" w:hAnsi="Times New Roman"/>
        </w:rPr>
        <w:t xml:space="preserve">% of patients experienced an IRR leading to discontinuation of </w:t>
      </w:r>
      <w:r w:rsidR="007F720C">
        <w:rPr>
          <w:rFonts w:ascii="Times New Roman" w:eastAsia="MS Mincho" w:hAnsi="Times New Roman"/>
        </w:rPr>
        <w:t>Gazyvaro</w:t>
      </w:r>
      <w:r w:rsidRPr="00A260ED">
        <w:rPr>
          <w:rFonts w:ascii="Times New Roman" w:eastAsia="MS Mincho" w:hAnsi="Times New Roman"/>
        </w:rPr>
        <w:t>.</w:t>
      </w:r>
    </w:p>
    <w:p w14:paraId="57589D1A" w14:textId="77777777" w:rsidR="00B6112F" w:rsidRPr="00A260ED" w:rsidRDefault="00B6112F" w:rsidP="00EB2A24">
      <w:pPr>
        <w:pStyle w:val="Heading2"/>
        <w:numPr>
          <w:ilvl w:val="0"/>
          <w:numId w:val="0"/>
        </w:numPr>
        <w:ind w:left="1134" w:hanging="1134"/>
        <w:rPr>
          <w:rFonts w:ascii="Times New Roman" w:eastAsia="MS Mincho" w:hAnsi="Times New Roman"/>
          <w:sz w:val="22"/>
          <w:lang w:val="en-GB"/>
        </w:rPr>
      </w:pPr>
      <w:r w:rsidRPr="00A260ED">
        <w:rPr>
          <w:rFonts w:ascii="Times New Roman" w:eastAsia="MS Mincho" w:hAnsi="Times New Roman"/>
          <w:i/>
          <w:sz w:val="22"/>
          <w:lang w:val="en-GB"/>
        </w:rPr>
        <w:t>Neutropenia and infections</w:t>
      </w:r>
    </w:p>
    <w:p w14:paraId="7D8FD35F" w14:textId="77777777" w:rsidR="00B6112F" w:rsidRPr="00A260ED" w:rsidRDefault="00B6112F" w:rsidP="00EB2A24">
      <w:pPr>
        <w:pStyle w:val="Heading2a"/>
        <w:rPr>
          <w:rFonts w:ascii="Times New Roman" w:hAnsi="Times New Roman"/>
        </w:rPr>
      </w:pPr>
      <w:r w:rsidRPr="00A260ED">
        <w:rPr>
          <w:rFonts w:ascii="Times New Roman" w:hAnsi="Times New Roman"/>
        </w:rPr>
        <w:t>Chronic lymphocytic leukaemia</w:t>
      </w:r>
    </w:p>
    <w:p w14:paraId="11ACD70E" w14:textId="44462219"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The incidence of infections in the </w:t>
      </w:r>
      <w:r w:rsidR="007F720C">
        <w:rPr>
          <w:rFonts w:ascii="Times New Roman" w:eastAsia="MS Mincho" w:hAnsi="Times New Roman"/>
        </w:rPr>
        <w:t>Gazyvaro</w:t>
      </w:r>
      <w:r w:rsidRPr="00A260ED">
        <w:rPr>
          <w:rFonts w:ascii="Times New Roman" w:eastAsia="MS Mincho" w:hAnsi="Times New Roman"/>
        </w:rPr>
        <w:t xml:space="preserve"> plus chlorambucil arm was 38%, with grade 3</w:t>
      </w:r>
      <w:r w:rsidRPr="00A260ED">
        <w:rPr>
          <w:rFonts w:ascii="Times New Roman" w:hAnsi="Times New Roman"/>
        </w:rPr>
        <w:noBreakHyphen/>
      </w:r>
      <w:r w:rsidRPr="00A260ED">
        <w:rPr>
          <w:rFonts w:ascii="Times New Roman" w:eastAsia="MS Mincho" w:hAnsi="Times New Roman"/>
        </w:rPr>
        <w:t xml:space="preserve">5 events reported in 12% and fatal events in &lt;1%. There were also reports of prolonged neutropenia in 2% of patients and late-onset neutropenia in 16% (see </w:t>
      </w:r>
      <w:r w:rsidRPr="00A260ED">
        <w:rPr>
          <w:rFonts w:ascii="Times New Roman" w:hAnsi="Times New Roman"/>
        </w:rPr>
        <w:t>“</w:t>
      </w:r>
      <w:r w:rsidRPr="00A260ED">
        <w:rPr>
          <w:rFonts w:ascii="Times New Roman" w:eastAsia="MS Mincho" w:hAnsi="Times New Roman"/>
        </w:rPr>
        <w:t>Warnings and precautions</w:t>
      </w:r>
      <w:r w:rsidRPr="00A260ED">
        <w:rPr>
          <w:rFonts w:ascii="Times New Roman" w:hAnsi="Times New Roman"/>
        </w:rPr>
        <w:t>”).</w:t>
      </w:r>
    </w:p>
    <w:p w14:paraId="2EC2EB29" w14:textId="77777777" w:rsidR="00B6112F" w:rsidRPr="00A260ED" w:rsidRDefault="00B6112F" w:rsidP="00EB2A24">
      <w:pPr>
        <w:pStyle w:val="Heading2"/>
        <w:numPr>
          <w:ilvl w:val="0"/>
          <w:numId w:val="0"/>
        </w:numPr>
        <w:ind w:left="1134" w:hanging="1134"/>
        <w:rPr>
          <w:rFonts w:ascii="Times New Roman" w:eastAsia="MS Mincho" w:hAnsi="Times New Roman"/>
          <w:i/>
          <w:sz w:val="22"/>
          <w:lang w:val="en-GB"/>
        </w:rPr>
      </w:pPr>
      <w:r w:rsidRPr="00A260ED">
        <w:rPr>
          <w:rFonts w:ascii="Times New Roman" w:eastAsia="MS Mincho" w:hAnsi="Times New Roman"/>
          <w:sz w:val="22"/>
          <w:lang w:val="en-GB"/>
        </w:rPr>
        <w:t>Non-Hodgkin’s lymphoma (mainly FL)</w:t>
      </w:r>
    </w:p>
    <w:p w14:paraId="06C44AC8" w14:textId="47440661"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In the </w:t>
      </w:r>
      <w:r w:rsidR="007F720C">
        <w:rPr>
          <w:rFonts w:ascii="Times New Roman" w:eastAsia="MS Mincho" w:hAnsi="Times New Roman"/>
        </w:rPr>
        <w:t>Gazyvaro</w:t>
      </w:r>
      <w:r w:rsidRPr="00A260ED">
        <w:rPr>
          <w:rFonts w:ascii="Times New Roman" w:eastAsia="MS Mincho" w:hAnsi="Times New Roman"/>
        </w:rPr>
        <w:t xml:space="preserve"> plus chemotherapy arm, the incidence of neutropenia was higher than in the comparator arm, with an increased risk during the induction phase. The incidences of prolonged neutropenia and late-onset neutropenia in the </w:t>
      </w:r>
      <w:r w:rsidR="007F720C">
        <w:rPr>
          <w:rFonts w:ascii="Times New Roman" w:eastAsia="MS Mincho" w:hAnsi="Times New Roman"/>
        </w:rPr>
        <w:t>Gazyvaro</w:t>
      </w:r>
      <w:r w:rsidRPr="00A260ED">
        <w:rPr>
          <w:rFonts w:ascii="Times New Roman" w:eastAsia="MS Mincho" w:hAnsi="Times New Roman"/>
        </w:rPr>
        <w:t xml:space="preserve"> plus chemotherapy arm were 3% and 7%, respectively. The incidence of infections in the </w:t>
      </w:r>
      <w:r w:rsidR="007F720C">
        <w:rPr>
          <w:rFonts w:ascii="Times New Roman" w:eastAsia="MS Mincho" w:hAnsi="Times New Roman"/>
        </w:rPr>
        <w:t>Gazyvaro</w:t>
      </w:r>
      <w:r w:rsidRPr="00A260ED">
        <w:rPr>
          <w:rFonts w:ascii="Times New Roman" w:eastAsia="MS Mincho" w:hAnsi="Times New Roman"/>
        </w:rPr>
        <w:t xml:space="preserve"> plus chemotherapy arm was 81% (with 22% grade 3</w:t>
      </w:r>
      <w:r w:rsidRPr="00A260ED">
        <w:rPr>
          <w:rFonts w:ascii="Times New Roman" w:hAnsi="Times New Roman"/>
        </w:rPr>
        <w:noBreakHyphen/>
      </w:r>
      <w:r w:rsidRPr="00A260ED">
        <w:rPr>
          <w:rFonts w:ascii="Times New Roman" w:eastAsia="MS Mincho" w:hAnsi="Times New Roman"/>
        </w:rPr>
        <w:t>5 events and 3% fatal events). Patients who received G</w:t>
      </w:r>
      <w:r w:rsidRPr="00A260ED">
        <w:rPr>
          <w:rFonts w:ascii="Times New Roman" w:eastAsia="MS Mincho" w:hAnsi="Times New Roman"/>
        </w:rPr>
        <w:noBreakHyphen/>
        <w:t>CSF prophylaxis had a lower rate of grade 3</w:t>
      </w:r>
      <w:r w:rsidRPr="00A260ED">
        <w:rPr>
          <w:rFonts w:ascii="Times New Roman" w:eastAsia="MS Mincho" w:hAnsi="Times New Roman"/>
        </w:rPr>
        <w:noBreakHyphen/>
        <w:t>5 infections.</w:t>
      </w:r>
    </w:p>
    <w:p w14:paraId="337587B0" w14:textId="77777777" w:rsidR="00B6112F" w:rsidRPr="00A260ED" w:rsidRDefault="00B6112F" w:rsidP="00EB2A24">
      <w:pPr>
        <w:pStyle w:val="Heading2"/>
        <w:numPr>
          <w:ilvl w:val="0"/>
          <w:numId w:val="0"/>
        </w:numPr>
        <w:ind w:left="1134" w:hanging="1134"/>
        <w:rPr>
          <w:rFonts w:ascii="Times New Roman" w:eastAsia="MS Mincho" w:hAnsi="Times New Roman"/>
          <w:sz w:val="22"/>
          <w:lang w:val="en-GB"/>
        </w:rPr>
      </w:pPr>
      <w:r w:rsidRPr="00A260ED">
        <w:rPr>
          <w:rFonts w:ascii="Times New Roman" w:eastAsia="MS Mincho" w:hAnsi="Times New Roman"/>
          <w:i/>
          <w:sz w:val="22"/>
          <w:lang w:val="en-GB"/>
        </w:rPr>
        <w:t xml:space="preserve">Thrombocytopenia and </w:t>
      </w:r>
      <w:r w:rsidRPr="00A260ED">
        <w:rPr>
          <w:rFonts w:ascii="Times New Roman" w:hAnsi="Times New Roman"/>
          <w:sz w:val="22"/>
        </w:rPr>
        <w:t>haemorrhagic</w:t>
      </w:r>
      <w:r w:rsidRPr="00A260ED">
        <w:rPr>
          <w:rFonts w:ascii="Times New Roman" w:eastAsia="MS Mincho" w:hAnsi="Times New Roman"/>
          <w:i/>
          <w:sz w:val="22"/>
          <w:lang w:val="en-GB"/>
        </w:rPr>
        <w:t xml:space="preserve"> events</w:t>
      </w:r>
    </w:p>
    <w:p w14:paraId="3EE34B25" w14:textId="77777777" w:rsidR="00B6112F" w:rsidRPr="00A260ED" w:rsidRDefault="00B6112F" w:rsidP="00EB2A24">
      <w:pPr>
        <w:pStyle w:val="Heading2a"/>
        <w:rPr>
          <w:rFonts w:ascii="Times New Roman" w:hAnsi="Times New Roman"/>
        </w:rPr>
      </w:pPr>
      <w:r w:rsidRPr="00A260ED">
        <w:rPr>
          <w:rFonts w:ascii="Times New Roman" w:hAnsi="Times New Roman"/>
        </w:rPr>
        <w:t>Chronic lymphocytic leukaemia</w:t>
      </w:r>
    </w:p>
    <w:p w14:paraId="30C6ACF9" w14:textId="7773C60A"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Four percent of patients treated with </w:t>
      </w:r>
      <w:r w:rsidR="007F720C">
        <w:rPr>
          <w:rFonts w:ascii="Times New Roman" w:eastAsia="MS Mincho" w:hAnsi="Times New Roman"/>
        </w:rPr>
        <w:t>Gazyvaro</w:t>
      </w:r>
      <w:r w:rsidRPr="00A260ED">
        <w:rPr>
          <w:rFonts w:ascii="Times New Roman" w:eastAsia="MS Mincho" w:hAnsi="Times New Roman"/>
        </w:rPr>
        <w:t xml:space="preserve"> plus chlorambucil experienced acute thrombocytopenia (starting within 24 hours of </w:t>
      </w:r>
      <w:r w:rsidR="007F720C">
        <w:rPr>
          <w:rFonts w:ascii="Times New Roman" w:eastAsia="MS Mincho" w:hAnsi="Times New Roman"/>
        </w:rPr>
        <w:t>Gazyvaro</w:t>
      </w:r>
      <w:r w:rsidRPr="00A260ED">
        <w:rPr>
          <w:rFonts w:ascii="Times New Roman" w:eastAsia="MS Mincho" w:hAnsi="Times New Roman"/>
        </w:rPr>
        <w:t xml:space="preserve"> infusion) (see </w:t>
      </w:r>
      <w:r w:rsidRPr="00A260ED">
        <w:rPr>
          <w:rFonts w:ascii="Times New Roman" w:hAnsi="Times New Roman"/>
        </w:rPr>
        <w:t>“</w:t>
      </w:r>
      <w:r w:rsidRPr="00A260ED">
        <w:rPr>
          <w:rFonts w:ascii="Times New Roman" w:eastAsia="MS Mincho" w:hAnsi="Times New Roman"/>
        </w:rPr>
        <w:t>Warnings and precautions</w:t>
      </w:r>
      <w:r w:rsidRPr="00A260ED">
        <w:rPr>
          <w:rFonts w:ascii="Times New Roman" w:hAnsi="Times New Roman"/>
        </w:rPr>
        <w:t>”).</w:t>
      </w:r>
      <w:r w:rsidRPr="00A260ED">
        <w:rPr>
          <w:rFonts w:ascii="Times New Roman" w:eastAsia="MS Mincho" w:hAnsi="Times New Roman"/>
        </w:rPr>
        <w:t xml:space="preserve"> A clear relationship was not demonstrated between the thrombocytopenia and bleeding events.</w:t>
      </w:r>
    </w:p>
    <w:p w14:paraId="50E6A0D3" w14:textId="77777777" w:rsidR="00B6112F" w:rsidRPr="00A260ED" w:rsidRDefault="00B6112F" w:rsidP="00EB2A24">
      <w:pPr>
        <w:pStyle w:val="Heading2"/>
        <w:numPr>
          <w:ilvl w:val="0"/>
          <w:numId w:val="0"/>
        </w:numPr>
        <w:ind w:left="1134" w:hanging="1134"/>
        <w:rPr>
          <w:rFonts w:ascii="Times New Roman" w:eastAsia="MS Mincho" w:hAnsi="Times New Roman"/>
          <w:i/>
          <w:sz w:val="22"/>
          <w:lang w:val="en-GB"/>
        </w:rPr>
      </w:pPr>
      <w:r w:rsidRPr="00A260ED">
        <w:rPr>
          <w:rFonts w:ascii="Times New Roman" w:eastAsia="MS Mincho" w:hAnsi="Times New Roman"/>
          <w:sz w:val="22"/>
          <w:lang w:val="en-GB"/>
        </w:rPr>
        <w:t>Non-Hodgkin’s lymphoma (mainly FL)</w:t>
      </w:r>
    </w:p>
    <w:p w14:paraId="3AB4ACB9" w14:textId="2A923017" w:rsidR="00B6112F" w:rsidRPr="00A260ED" w:rsidRDefault="00B6112F">
      <w:pPr>
        <w:pStyle w:val="J1"/>
        <w:rPr>
          <w:rFonts w:ascii="Times New Roman" w:hAnsi="Times New Roman"/>
        </w:rPr>
      </w:pPr>
      <w:r w:rsidRPr="00A260ED">
        <w:rPr>
          <w:rFonts w:ascii="Times New Roman" w:hAnsi="Times New Roman"/>
        </w:rPr>
        <w:t xml:space="preserve">During cycle 1, thrombocytopenia occurred more frequently in the </w:t>
      </w:r>
      <w:r w:rsidR="007F720C">
        <w:rPr>
          <w:rFonts w:ascii="Times New Roman" w:hAnsi="Times New Roman"/>
        </w:rPr>
        <w:t>Gazyvaro</w:t>
      </w:r>
      <w:r w:rsidRPr="00A260ED">
        <w:rPr>
          <w:rFonts w:ascii="Times New Roman" w:hAnsi="Times New Roman"/>
        </w:rPr>
        <w:t xml:space="preserve"> plus chemotherapy arm. Thrombocytopenia occurring during or within 24 hours of infusion (acute thrombocytopenia) was more frequent in patients treated with </w:t>
      </w:r>
      <w:r w:rsidR="007F720C">
        <w:rPr>
          <w:rFonts w:ascii="Times New Roman" w:hAnsi="Times New Roman"/>
        </w:rPr>
        <w:t>Gazyvaro</w:t>
      </w:r>
      <w:r w:rsidRPr="00A260ED">
        <w:rPr>
          <w:rFonts w:ascii="Times New Roman" w:hAnsi="Times New Roman"/>
        </w:rPr>
        <w:t xml:space="preserve"> plus chemotherapy than in the relevant comparator arm. </w:t>
      </w:r>
      <w:r w:rsidRPr="00A260ED">
        <w:rPr>
          <w:rFonts w:ascii="Times New Roman" w:hAnsi="Times New Roman"/>
        </w:rPr>
        <w:lastRenderedPageBreak/>
        <w:t>Haemorrhagic events and grade 3</w:t>
      </w:r>
      <w:r w:rsidRPr="00A260ED">
        <w:rPr>
          <w:rFonts w:ascii="Times New Roman" w:hAnsi="Times New Roman"/>
        </w:rPr>
        <w:noBreakHyphen/>
        <w:t>5 haemorrhagic events occurred in 12% and 5% of patients, respectively. Less than 1% of patients experienced fatal haemorrhagic events, and none of these fatal AEs occurred in cycle 1.</w:t>
      </w:r>
    </w:p>
    <w:p w14:paraId="40530887" w14:textId="77777777" w:rsidR="00B6112F" w:rsidRPr="00A260ED" w:rsidRDefault="00B6112F" w:rsidP="00EB2A24">
      <w:pPr>
        <w:pStyle w:val="Heading2"/>
        <w:numPr>
          <w:ilvl w:val="0"/>
          <w:numId w:val="0"/>
        </w:numPr>
        <w:ind w:left="1134" w:hanging="1134"/>
        <w:rPr>
          <w:rFonts w:ascii="Times New Roman" w:eastAsia="MS Mincho" w:hAnsi="Times New Roman"/>
          <w:sz w:val="22"/>
          <w:lang w:val="en-GB"/>
        </w:rPr>
      </w:pPr>
      <w:r w:rsidRPr="00A260ED">
        <w:rPr>
          <w:rFonts w:ascii="Times New Roman" w:eastAsia="MS Mincho" w:hAnsi="Times New Roman"/>
          <w:i/>
          <w:sz w:val="22"/>
          <w:lang w:val="en-GB"/>
        </w:rPr>
        <w:t>Progressive multifocal leukoencephalopathy (PML)</w:t>
      </w:r>
    </w:p>
    <w:p w14:paraId="4C7AFC48" w14:textId="0509C124"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Cases of PML have been reported in patients treated with </w:t>
      </w:r>
      <w:r w:rsidR="007F720C">
        <w:rPr>
          <w:rFonts w:ascii="Times New Roman" w:eastAsia="MS Mincho" w:hAnsi="Times New Roman"/>
        </w:rPr>
        <w:t>Gazyvaro</w:t>
      </w:r>
      <w:r w:rsidRPr="00A260ED">
        <w:rPr>
          <w:rFonts w:ascii="Times New Roman" w:eastAsia="MS Mincho" w:hAnsi="Times New Roman"/>
        </w:rPr>
        <w:t xml:space="preserve"> (see </w:t>
      </w:r>
      <w:r w:rsidRPr="00A260ED">
        <w:rPr>
          <w:rFonts w:ascii="Times New Roman" w:hAnsi="Times New Roman"/>
        </w:rPr>
        <w:t>“</w:t>
      </w:r>
      <w:r w:rsidRPr="00A260ED">
        <w:rPr>
          <w:rFonts w:ascii="Times New Roman" w:eastAsia="MS Mincho" w:hAnsi="Times New Roman"/>
        </w:rPr>
        <w:t>Warnings and precautions</w:t>
      </w:r>
      <w:r w:rsidRPr="00A260ED">
        <w:rPr>
          <w:rFonts w:ascii="Times New Roman" w:hAnsi="Times New Roman"/>
        </w:rPr>
        <w:t>”).</w:t>
      </w:r>
    </w:p>
    <w:p w14:paraId="252D3CCF" w14:textId="77777777" w:rsidR="00B6112F" w:rsidRPr="00A260ED" w:rsidRDefault="00B6112F" w:rsidP="00EB2A24">
      <w:pPr>
        <w:pStyle w:val="Heading2"/>
        <w:numPr>
          <w:ilvl w:val="0"/>
          <w:numId w:val="0"/>
        </w:numPr>
        <w:ind w:left="1134" w:hanging="1134"/>
        <w:rPr>
          <w:rFonts w:ascii="Times New Roman" w:eastAsia="MS Mincho" w:hAnsi="Times New Roman"/>
          <w:sz w:val="22"/>
          <w:lang w:val="en-GB"/>
        </w:rPr>
      </w:pPr>
      <w:r w:rsidRPr="00A260ED">
        <w:rPr>
          <w:rFonts w:ascii="Times New Roman" w:eastAsia="MS Mincho" w:hAnsi="Times New Roman"/>
          <w:i/>
          <w:sz w:val="22"/>
          <w:lang w:val="en-GB"/>
        </w:rPr>
        <w:t>Hepatitis B reactivation</w:t>
      </w:r>
    </w:p>
    <w:p w14:paraId="5382A531" w14:textId="49AC2043" w:rsidR="00B6112F" w:rsidRPr="00A260ED" w:rsidRDefault="00B6112F" w:rsidP="00EB2A24">
      <w:pPr>
        <w:pStyle w:val="J1"/>
        <w:rPr>
          <w:rFonts w:ascii="Times New Roman" w:eastAsia="MS Mincho" w:hAnsi="Times New Roman"/>
        </w:rPr>
      </w:pPr>
      <w:r w:rsidRPr="00A260ED">
        <w:rPr>
          <w:rFonts w:ascii="Times New Roman" w:eastAsia="MS Mincho" w:hAnsi="Times New Roman"/>
        </w:rPr>
        <w:t>Cases of hepatitis</w:t>
      </w:r>
      <w:r w:rsidRPr="00A260ED">
        <w:rPr>
          <w:rFonts w:ascii="Times New Roman" w:hAnsi="Times New Roman"/>
        </w:rPr>
        <w:t> </w:t>
      </w:r>
      <w:r w:rsidRPr="00A260ED">
        <w:rPr>
          <w:rFonts w:ascii="Times New Roman" w:eastAsia="MS Mincho" w:hAnsi="Times New Roman"/>
        </w:rPr>
        <w:t xml:space="preserve">B reactivation have been reported in patients treated with </w:t>
      </w:r>
      <w:r w:rsidR="007F720C">
        <w:rPr>
          <w:rFonts w:ascii="Times New Roman" w:eastAsia="MS Mincho" w:hAnsi="Times New Roman"/>
        </w:rPr>
        <w:t>Gazyvaro</w:t>
      </w:r>
      <w:r w:rsidRPr="00A260ED">
        <w:rPr>
          <w:rFonts w:ascii="Times New Roman" w:eastAsia="MS Mincho" w:hAnsi="Times New Roman"/>
        </w:rPr>
        <w:t xml:space="preserve"> (see </w:t>
      </w:r>
      <w:r w:rsidRPr="00A260ED">
        <w:rPr>
          <w:rFonts w:ascii="Times New Roman" w:hAnsi="Times New Roman"/>
        </w:rPr>
        <w:t>“</w:t>
      </w:r>
      <w:r w:rsidRPr="00A260ED">
        <w:rPr>
          <w:rFonts w:ascii="Times New Roman" w:eastAsia="MS Mincho" w:hAnsi="Times New Roman"/>
        </w:rPr>
        <w:t>Warnings and precautions</w:t>
      </w:r>
      <w:r w:rsidRPr="00A260ED">
        <w:rPr>
          <w:rFonts w:ascii="Times New Roman" w:hAnsi="Times New Roman"/>
        </w:rPr>
        <w:t>”).</w:t>
      </w:r>
    </w:p>
    <w:p w14:paraId="56083A64" w14:textId="77777777" w:rsidR="00B6112F" w:rsidRPr="00A260ED" w:rsidRDefault="00B6112F" w:rsidP="00EB2A24">
      <w:pPr>
        <w:pStyle w:val="Heading2"/>
        <w:numPr>
          <w:ilvl w:val="0"/>
          <w:numId w:val="0"/>
        </w:numPr>
        <w:ind w:left="1134" w:hanging="1134"/>
        <w:rPr>
          <w:rFonts w:ascii="Times New Roman" w:eastAsia="MS Mincho" w:hAnsi="Times New Roman"/>
          <w:sz w:val="22"/>
          <w:lang w:val="en-GB"/>
        </w:rPr>
      </w:pPr>
      <w:r w:rsidRPr="00A260ED">
        <w:rPr>
          <w:rFonts w:ascii="Times New Roman" w:eastAsia="MS Mincho" w:hAnsi="Times New Roman"/>
          <w:i/>
          <w:sz w:val="22"/>
          <w:lang w:val="en-GB"/>
        </w:rPr>
        <w:t>Worsening of pre-existing cardiac conditions</w:t>
      </w:r>
    </w:p>
    <w:p w14:paraId="14B4F642" w14:textId="26493022"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Cases of fatal cardiac events have been reported in patients treated with </w:t>
      </w:r>
      <w:r w:rsidR="007F720C">
        <w:rPr>
          <w:rFonts w:ascii="Times New Roman" w:eastAsia="MS Mincho" w:hAnsi="Times New Roman"/>
        </w:rPr>
        <w:t>Gazyvaro</w:t>
      </w:r>
      <w:r w:rsidRPr="00A260ED">
        <w:rPr>
          <w:rFonts w:ascii="Times New Roman" w:eastAsia="MS Mincho" w:hAnsi="Times New Roman"/>
        </w:rPr>
        <w:t xml:space="preserve"> (see </w:t>
      </w:r>
      <w:r w:rsidRPr="00A260ED">
        <w:rPr>
          <w:rFonts w:ascii="Times New Roman" w:hAnsi="Times New Roman"/>
        </w:rPr>
        <w:t>“</w:t>
      </w:r>
      <w:r w:rsidRPr="00A260ED">
        <w:rPr>
          <w:rFonts w:ascii="Times New Roman" w:eastAsia="MS Mincho" w:hAnsi="Times New Roman"/>
        </w:rPr>
        <w:t>Warnings and precautions</w:t>
      </w:r>
      <w:r w:rsidRPr="00A260ED">
        <w:rPr>
          <w:rFonts w:ascii="Times New Roman" w:hAnsi="Times New Roman"/>
        </w:rPr>
        <w:t>”).</w:t>
      </w:r>
    </w:p>
    <w:p w14:paraId="7D57F2FA" w14:textId="77777777" w:rsidR="00B6112F" w:rsidRPr="00A260ED" w:rsidRDefault="00B6112F" w:rsidP="00EB2A24">
      <w:pPr>
        <w:pStyle w:val="Heading2"/>
        <w:numPr>
          <w:ilvl w:val="0"/>
          <w:numId w:val="0"/>
        </w:numPr>
        <w:ind w:left="1134" w:hanging="1134"/>
        <w:rPr>
          <w:rFonts w:ascii="Times New Roman" w:eastAsia="MS Mincho" w:hAnsi="Times New Roman"/>
          <w:sz w:val="22"/>
          <w:lang w:val="en-GB"/>
        </w:rPr>
      </w:pPr>
      <w:r w:rsidRPr="00A260ED">
        <w:rPr>
          <w:rFonts w:ascii="Times New Roman" w:eastAsia="MS Mincho" w:hAnsi="Times New Roman"/>
          <w:i/>
          <w:sz w:val="22"/>
          <w:lang w:val="en-GB"/>
        </w:rPr>
        <w:t>Gastrointestinal perforation</w:t>
      </w:r>
    </w:p>
    <w:p w14:paraId="32115915" w14:textId="7DBA3987"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Cases of gastrointestinal perforation have been reported in patients receiving </w:t>
      </w:r>
      <w:r w:rsidR="007F720C">
        <w:rPr>
          <w:rFonts w:ascii="Times New Roman" w:eastAsia="MS Mincho" w:hAnsi="Times New Roman"/>
        </w:rPr>
        <w:t>Gazyvaro</w:t>
      </w:r>
      <w:r w:rsidRPr="00A260ED">
        <w:rPr>
          <w:rFonts w:ascii="Times New Roman" w:eastAsia="MS Mincho" w:hAnsi="Times New Roman"/>
        </w:rPr>
        <w:t>, primarily NHL patients.</w:t>
      </w:r>
    </w:p>
    <w:p w14:paraId="5E9342A2" w14:textId="77777777" w:rsidR="00B6112F" w:rsidRPr="00A260ED" w:rsidRDefault="00B6112F" w:rsidP="00EB2A24">
      <w:pPr>
        <w:pStyle w:val="Heading2"/>
        <w:numPr>
          <w:ilvl w:val="0"/>
          <w:numId w:val="0"/>
        </w:numPr>
        <w:ind w:left="1134" w:hanging="1134"/>
        <w:rPr>
          <w:rFonts w:ascii="Times New Roman" w:eastAsia="MS Mincho" w:hAnsi="Times New Roman"/>
          <w:sz w:val="22"/>
          <w:lang w:val="en-GB"/>
        </w:rPr>
      </w:pPr>
      <w:r w:rsidRPr="00A260ED">
        <w:rPr>
          <w:rFonts w:ascii="Times New Roman" w:eastAsia="MS Mincho" w:hAnsi="Times New Roman"/>
          <w:i/>
          <w:sz w:val="22"/>
          <w:lang w:val="en-GB"/>
        </w:rPr>
        <w:t>Renal impairment</w:t>
      </w:r>
    </w:p>
    <w:p w14:paraId="5270300B"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In patients with moderate renal impairment (CrCl &lt;50 ml/min), more serious adverse events </w:t>
      </w:r>
      <w:r w:rsidRPr="00A260ED">
        <w:rPr>
          <w:rFonts w:ascii="Times New Roman" w:hAnsi="Times New Roman"/>
        </w:rPr>
        <w:t>(grade 3 to 5)</w:t>
      </w:r>
      <w:r w:rsidR="00553A19" w:rsidRPr="00A260ED">
        <w:rPr>
          <w:rFonts w:ascii="Times New Roman" w:hAnsi="Times New Roman"/>
        </w:rPr>
        <w:t>41</w:t>
      </w:r>
      <w:r w:rsidRPr="00A260ED">
        <w:rPr>
          <w:rFonts w:ascii="Times New Roman" w:eastAsia="MS Mincho" w:hAnsi="Times New Roman"/>
        </w:rPr>
        <w:t xml:space="preserve"> occurred than in those with creatinine clearance (CrCl) ≥50 ml/min.</w:t>
      </w:r>
    </w:p>
    <w:p w14:paraId="34F0051E" w14:textId="77777777" w:rsidR="00553A19" w:rsidRPr="00A260ED" w:rsidRDefault="00B6112F" w:rsidP="00553A19">
      <w:pPr>
        <w:pStyle w:val="J2"/>
        <w:rPr>
          <w:rFonts w:ascii="Times New Roman" w:hAnsi="Times New Roman"/>
        </w:rPr>
      </w:pPr>
      <w:r w:rsidRPr="00A260ED">
        <w:rPr>
          <w:rFonts w:ascii="Times New Roman" w:hAnsi="Times New Roman"/>
        </w:rPr>
        <w:t xml:space="preserve">Reporting of suspected adverse reactions after marketing authorisation is very important. It allows continued monitoring of the benefit/risk balance of the medicinal product. </w:t>
      </w:r>
    </w:p>
    <w:p w14:paraId="770111AF" w14:textId="77777777" w:rsidR="00B6112F" w:rsidRPr="00A260ED" w:rsidRDefault="00B6112F" w:rsidP="00553A19">
      <w:pPr>
        <w:pStyle w:val="J2"/>
        <w:rPr>
          <w:rFonts w:ascii="Times New Roman" w:hAnsi="Times New Roman"/>
          <w:b/>
        </w:rPr>
      </w:pPr>
      <w:r w:rsidRPr="00A260ED">
        <w:rPr>
          <w:rFonts w:ascii="Times New Roman" w:hAnsi="Times New Roman"/>
          <w:b/>
        </w:rPr>
        <w:t>Overdose</w:t>
      </w:r>
    </w:p>
    <w:p w14:paraId="7F1052D8" w14:textId="1E9579E1"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No experience with overdosage is available from human clinical trials. In clinical trials with </w:t>
      </w:r>
      <w:r w:rsidR="007F720C">
        <w:rPr>
          <w:rFonts w:ascii="Times New Roman" w:eastAsia="MS Mincho" w:hAnsi="Times New Roman"/>
        </w:rPr>
        <w:t>Gazyvaro</w:t>
      </w:r>
      <w:r w:rsidRPr="00A260ED">
        <w:rPr>
          <w:rFonts w:ascii="Times New Roman" w:eastAsia="MS Mincho" w:hAnsi="Times New Roman"/>
        </w:rPr>
        <w:t>, doses ranging from 50 mg up to and including 2000 mg per infusion have been administered. The incidence and intensity of adverse reactions reported in these studies did not appear to be dose-dependent.</w:t>
      </w:r>
    </w:p>
    <w:p w14:paraId="30471471"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rPr>
        <w:t>Patients who experience overdose should have immediate interruption or reduction of their infusion and should be closely supervised. It should be borne in mind that patients require regular monitoring of blood count and for increased risk of infections while B</w:t>
      </w:r>
      <w:r w:rsidRPr="00A260ED">
        <w:rPr>
          <w:rFonts w:ascii="Times New Roman" w:hAnsi="Times New Roman"/>
        </w:rPr>
        <w:t> </w:t>
      </w:r>
      <w:r w:rsidRPr="00A260ED">
        <w:rPr>
          <w:rFonts w:ascii="Times New Roman" w:eastAsia="MS Mincho" w:hAnsi="Times New Roman"/>
        </w:rPr>
        <w:t>cell-depleted.</w:t>
      </w:r>
    </w:p>
    <w:p w14:paraId="31E80326" w14:textId="77777777" w:rsidR="00B6112F" w:rsidRPr="00A260ED" w:rsidRDefault="00B6112F" w:rsidP="00EB2A24">
      <w:pPr>
        <w:pStyle w:val="Heading1"/>
        <w:numPr>
          <w:ilvl w:val="0"/>
          <w:numId w:val="0"/>
        </w:numPr>
        <w:ind w:left="1134" w:hanging="1134"/>
        <w:rPr>
          <w:rFonts w:ascii="Times New Roman" w:hAnsi="Times New Roman"/>
          <w:sz w:val="22"/>
        </w:rPr>
      </w:pPr>
      <w:r w:rsidRPr="00A260ED">
        <w:rPr>
          <w:rFonts w:ascii="Times New Roman" w:hAnsi="Times New Roman"/>
          <w:sz w:val="22"/>
        </w:rPr>
        <w:t>Properties/Effects</w:t>
      </w:r>
    </w:p>
    <w:p w14:paraId="2CCDA950" w14:textId="77777777" w:rsidR="00B6112F" w:rsidRPr="00A260ED" w:rsidRDefault="00B6112F" w:rsidP="00553A19">
      <w:pPr>
        <w:pStyle w:val="Heading2"/>
        <w:numPr>
          <w:ilvl w:val="0"/>
          <w:numId w:val="0"/>
        </w:numPr>
        <w:ind w:left="1134" w:hanging="1134"/>
        <w:rPr>
          <w:rFonts w:ascii="Times New Roman" w:hAnsi="Times New Roman"/>
          <w:sz w:val="22"/>
        </w:rPr>
      </w:pPr>
      <w:r w:rsidRPr="00A260ED">
        <w:rPr>
          <w:rFonts w:ascii="Times New Roman" w:hAnsi="Times New Roman"/>
          <w:sz w:val="22"/>
        </w:rPr>
        <w:t>ATC code</w:t>
      </w:r>
    </w:p>
    <w:p w14:paraId="68E53A1A"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rPr>
        <w:t>L01XC15</w:t>
      </w:r>
    </w:p>
    <w:p w14:paraId="3CF2E1B2" w14:textId="77777777" w:rsidR="00B6112F" w:rsidRPr="00A260ED" w:rsidRDefault="00B6112F" w:rsidP="00EB2A24">
      <w:pPr>
        <w:pStyle w:val="Heading2"/>
        <w:numPr>
          <w:ilvl w:val="0"/>
          <w:numId w:val="0"/>
        </w:numPr>
        <w:ind w:left="1134" w:hanging="1134"/>
        <w:rPr>
          <w:rFonts w:ascii="Times New Roman" w:eastAsia="MS Mincho" w:hAnsi="Times New Roman"/>
          <w:b w:val="0"/>
          <w:i/>
          <w:sz w:val="22"/>
          <w:lang w:val="en-GB"/>
        </w:rPr>
      </w:pPr>
      <w:r w:rsidRPr="00A260ED">
        <w:rPr>
          <w:rFonts w:ascii="Times New Roman" w:eastAsia="MS Mincho" w:hAnsi="Times New Roman"/>
          <w:b w:val="0"/>
          <w:sz w:val="22"/>
          <w:lang w:val="en-GB"/>
        </w:rPr>
        <w:t>Mechanism of action</w:t>
      </w:r>
    </w:p>
    <w:p w14:paraId="4CC932DE"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rPr>
        <w:t>Obinutuzumab is a recombinant monoclonal humanised and glycoengineered type</w:t>
      </w:r>
      <w:r w:rsidRPr="00A260ED">
        <w:rPr>
          <w:rFonts w:ascii="Times New Roman" w:hAnsi="Times New Roman"/>
        </w:rPr>
        <w:t> </w:t>
      </w:r>
      <w:r w:rsidRPr="00A260ED">
        <w:rPr>
          <w:rFonts w:ascii="Times New Roman" w:eastAsia="MS Mincho" w:hAnsi="Times New Roman"/>
        </w:rPr>
        <w:t>II anti-CD20 antibody of the IgG1 isotype. CD20 is expressed equally on the surface of non-malignant and malignant pre-B and mature B</w:t>
      </w:r>
      <w:r w:rsidRPr="00A260ED">
        <w:rPr>
          <w:rFonts w:ascii="Times New Roman" w:hAnsi="Times New Roman"/>
        </w:rPr>
        <w:t> </w:t>
      </w:r>
      <w:r w:rsidRPr="00A260ED">
        <w:rPr>
          <w:rFonts w:ascii="Times New Roman" w:eastAsia="MS Mincho" w:hAnsi="Times New Roman"/>
        </w:rPr>
        <w:t xml:space="preserve">lymphocytes, but not on </w:t>
      </w:r>
      <w:r w:rsidRPr="00A260ED">
        <w:rPr>
          <w:rFonts w:ascii="Times New Roman" w:hAnsi="Times New Roman"/>
        </w:rPr>
        <w:t>haematopoietic</w:t>
      </w:r>
      <w:r w:rsidRPr="00A260ED">
        <w:rPr>
          <w:rFonts w:ascii="Times New Roman" w:eastAsia="MS Mincho" w:hAnsi="Times New Roman"/>
        </w:rPr>
        <w:t xml:space="preserve"> stem cells, pro</w:t>
      </w:r>
      <w:r w:rsidRPr="00A260ED">
        <w:rPr>
          <w:rFonts w:ascii="Times New Roman" w:hAnsi="Times New Roman"/>
        </w:rPr>
        <w:noBreakHyphen/>
      </w:r>
      <w:r w:rsidRPr="00A260ED">
        <w:rPr>
          <w:rFonts w:ascii="Times New Roman" w:eastAsia="MS Mincho" w:hAnsi="Times New Roman"/>
        </w:rPr>
        <w:t>B cells, normal plasma cells or other normal tissues. Glycoengineering of the Fc part of obinutuzumab results in higher affinity for FcɣRIII receptors on immune effector cells such as natural killer (NK) cells, and macrophages and monocytes as compared to non-glycoengineered antibodies. In non-clinical studies, obinutuzumab induces direct cell death and mediates antibody-dependent cellular cytotoxicity (ADCC) and antibody-dependent phagocytosis (ADCP) through recruitment of FcɣRIII-positive effector cells. In addition, obinutuzumab mediates a low degree of complement-dependent cytotoxicity (CDC). In animal models, obinutuzumab mediates potent B</w:t>
      </w:r>
      <w:r w:rsidRPr="00A260ED">
        <w:rPr>
          <w:rFonts w:ascii="Times New Roman" w:hAnsi="Times New Roman"/>
        </w:rPr>
        <w:t> </w:t>
      </w:r>
      <w:r w:rsidRPr="00A260ED">
        <w:rPr>
          <w:rFonts w:ascii="Times New Roman" w:eastAsia="MS Mincho" w:hAnsi="Times New Roman"/>
        </w:rPr>
        <w:t>cell depletion and antitumour efficacy.</w:t>
      </w:r>
    </w:p>
    <w:p w14:paraId="5DB15A3E" w14:textId="77777777" w:rsidR="00B6112F" w:rsidRPr="00A260ED" w:rsidRDefault="00B6112F" w:rsidP="00553A19">
      <w:pPr>
        <w:pStyle w:val="Heading2"/>
        <w:numPr>
          <w:ilvl w:val="0"/>
          <w:numId w:val="0"/>
        </w:numPr>
        <w:ind w:left="1134" w:hanging="1134"/>
        <w:rPr>
          <w:rFonts w:ascii="Times New Roman" w:hAnsi="Times New Roman"/>
          <w:sz w:val="22"/>
        </w:rPr>
      </w:pPr>
      <w:r w:rsidRPr="00A260ED">
        <w:rPr>
          <w:rFonts w:ascii="Times New Roman" w:hAnsi="Times New Roman"/>
          <w:sz w:val="22"/>
        </w:rPr>
        <w:t>Pharmacodynamics</w:t>
      </w:r>
    </w:p>
    <w:p w14:paraId="77DFF66E" w14:textId="77777777" w:rsidR="00B6112F" w:rsidRPr="00A260ED" w:rsidRDefault="00B6112F">
      <w:pPr>
        <w:pStyle w:val="J1"/>
        <w:rPr>
          <w:rFonts w:ascii="Times New Roman" w:hAnsi="Times New Roman"/>
        </w:rPr>
      </w:pPr>
      <w:r w:rsidRPr="00A260ED">
        <w:rPr>
          <w:rFonts w:ascii="Times New Roman" w:hAnsi="Times New Roman"/>
        </w:rPr>
        <w:t>No information.</w:t>
      </w:r>
    </w:p>
    <w:p w14:paraId="65FDC81B" w14:textId="77777777" w:rsidR="00B6112F" w:rsidRPr="00A260ED" w:rsidRDefault="00B6112F" w:rsidP="00EB2A24">
      <w:pPr>
        <w:pStyle w:val="Heading2"/>
        <w:numPr>
          <w:ilvl w:val="0"/>
          <w:numId w:val="0"/>
        </w:numPr>
        <w:ind w:left="1134" w:hanging="1134"/>
        <w:rPr>
          <w:rFonts w:ascii="Times New Roman" w:eastAsia="MS Mincho" w:hAnsi="Times New Roman"/>
          <w:b w:val="0"/>
          <w:i/>
          <w:sz w:val="22"/>
          <w:lang w:val="en-GB"/>
        </w:rPr>
      </w:pPr>
      <w:r w:rsidRPr="00A260ED">
        <w:rPr>
          <w:rFonts w:ascii="Times New Roman" w:eastAsia="MS Mincho" w:hAnsi="Times New Roman"/>
          <w:b w:val="0"/>
          <w:sz w:val="22"/>
          <w:lang w:val="en-GB"/>
        </w:rPr>
        <w:lastRenderedPageBreak/>
        <w:t>Clinical efficacy</w:t>
      </w:r>
    </w:p>
    <w:p w14:paraId="53F28E3F" w14:textId="77777777" w:rsidR="00B6112F" w:rsidRPr="00A260ED" w:rsidRDefault="00B6112F" w:rsidP="00EB2A24">
      <w:pPr>
        <w:pStyle w:val="Heading2a"/>
        <w:rPr>
          <w:rFonts w:ascii="Times New Roman" w:hAnsi="Times New Roman"/>
          <w:i w:val="0"/>
        </w:rPr>
      </w:pPr>
      <w:r w:rsidRPr="00A260ED">
        <w:rPr>
          <w:rFonts w:ascii="Times New Roman" w:hAnsi="Times New Roman"/>
        </w:rPr>
        <w:t>Chronic lymphocytic leukaemia</w:t>
      </w:r>
    </w:p>
    <w:p w14:paraId="1B47E9F2" w14:textId="0498E33E"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A phase III, open-label, three-arm study (BO21004/CLL11) in two parts compared </w:t>
      </w:r>
      <w:r w:rsidR="007F720C">
        <w:rPr>
          <w:rFonts w:ascii="Times New Roman" w:eastAsia="MS Mincho" w:hAnsi="Times New Roman"/>
        </w:rPr>
        <w:t>Gazyvaro</w:t>
      </w:r>
      <w:r w:rsidRPr="00A260ED">
        <w:rPr>
          <w:rFonts w:ascii="Times New Roman" w:eastAsia="MS Mincho" w:hAnsi="Times New Roman"/>
        </w:rPr>
        <w:t xml:space="preserve"> plus chlorambucil with MabThera plus chlorambucil or chlorambucil alone in 781 patients with previously untreated chronic lymphocytic </w:t>
      </w:r>
      <w:r w:rsidRPr="00A260ED">
        <w:rPr>
          <w:rFonts w:ascii="Times New Roman" w:hAnsi="Times New Roman"/>
        </w:rPr>
        <w:t>leukaemia</w:t>
      </w:r>
      <w:r w:rsidRPr="00A260ED">
        <w:rPr>
          <w:rFonts w:ascii="Times New Roman" w:eastAsia="MS Mincho" w:hAnsi="Times New Roman"/>
        </w:rPr>
        <w:t xml:space="preserve"> with comorbidities.</w:t>
      </w:r>
    </w:p>
    <w:p w14:paraId="30E6A156"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rPr>
        <w:t>Patients had to have one or both of the following measures of coexisting medical conditions: comorbidity score (CIRS) of greater than 6 or reduced renal function (CrCl &lt;70</w:t>
      </w:r>
      <w:r w:rsidRPr="00A260ED">
        <w:rPr>
          <w:rFonts w:ascii="Times New Roman" w:hAnsi="Times New Roman"/>
        </w:rPr>
        <w:t xml:space="preserve"> </w:t>
      </w:r>
      <w:r w:rsidRPr="00A260ED">
        <w:rPr>
          <w:rFonts w:ascii="Times New Roman" w:eastAsia="MS Mincho" w:hAnsi="Times New Roman"/>
        </w:rPr>
        <w:t>ml/min). Patients with hepatic impairment and severe renal impairment were excluded from participating.</w:t>
      </w:r>
    </w:p>
    <w:p w14:paraId="1AC83178" w14:textId="6354A346"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A total of 781 patients were randomised 2:2:1 to receive </w:t>
      </w:r>
      <w:r w:rsidR="007F720C">
        <w:rPr>
          <w:rFonts w:ascii="Times New Roman" w:eastAsia="MS Mincho" w:hAnsi="Times New Roman"/>
        </w:rPr>
        <w:t>Gazyvaro</w:t>
      </w:r>
      <w:r w:rsidRPr="00A260ED">
        <w:rPr>
          <w:rFonts w:ascii="Times New Roman" w:eastAsia="MS Mincho" w:hAnsi="Times New Roman"/>
        </w:rPr>
        <w:t xml:space="preserve"> plus chlorambucil, MabThera plus chlorambucil or chlorambucil alone. Stage</w:t>
      </w:r>
      <w:r w:rsidRPr="00A260ED">
        <w:rPr>
          <w:rFonts w:ascii="Times New Roman" w:hAnsi="Times New Roman"/>
        </w:rPr>
        <w:t> </w:t>
      </w:r>
      <w:r w:rsidRPr="00A260ED">
        <w:rPr>
          <w:rFonts w:ascii="Times New Roman" w:eastAsia="MS Mincho" w:hAnsi="Times New Roman"/>
        </w:rPr>
        <w:t xml:space="preserve">1 compared </w:t>
      </w:r>
      <w:r w:rsidR="007F720C">
        <w:rPr>
          <w:rFonts w:ascii="Times New Roman" w:eastAsia="MS Mincho" w:hAnsi="Times New Roman"/>
        </w:rPr>
        <w:t>Gazyvaro</w:t>
      </w:r>
      <w:r w:rsidRPr="00A260ED">
        <w:rPr>
          <w:rFonts w:ascii="Times New Roman" w:eastAsia="MS Mincho" w:hAnsi="Times New Roman"/>
        </w:rPr>
        <w:t xml:space="preserve"> plus chlorambucil to chlorambucil alone in 356 patients and stage</w:t>
      </w:r>
      <w:r w:rsidRPr="00A260ED">
        <w:rPr>
          <w:rFonts w:ascii="Times New Roman" w:hAnsi="Times New Roman"/>
        </w:rPr>
        <w:t> </w:t>
      </w:r>
      <w:r w:rsidRPr="00A260ED">
        <w:rPr>
          <w:rFonts w:ascii="Times New Roman" w:eastAsia="MS Mincho" w:hAnsi="Times New Roman"/>
        </w:rPr>
        <w:t xml:space="preserve">2 compared </w:t>
      </w:r>
      <w:r w:rsidR="007F720C">
        <w:rPr>
          <w:rFonts w:ascii="Times New Roman" w:eastAsia="MS Mincho" w:hAnsi="Times New Roman"/>
        </w:rPr>
        <w:t>Gazyvaro</w:t>
      </w:r>
      <w:r w:rsidRPr="00A260ED">
        <w:rPr>
          <w:rFonts w:ascii="Times New Roman" w:eastAsia="MS Mincho" w:hAnsi="Times New Roman"/>
        </w:rPr>
        <w:t xml:space="preserve"> plus chlorambucil to MabThera plus chlorambucil in 663 patients. The median age was 73 years.</w:t>
      </w:r>
    </w:p>
    <w:p w14:paraId="0D1E782D"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rPr>
        <w:t>The most frequently reported coexisting medical conditions were: vascular disorders 73%, cardiac disorders 46%, gastrointestinal disorders 38%, metabolism and nutrition disorders 40%, renal and urinary disorders 38%, musculoskeletal and connective tissue disorders 33%.</w:t>
      </w:r>
    </w:p>
    <w:p w14:paraId="64F516EF" w14:textId="1337DB9C"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The primary endpoint of the study was investigator-assessed progression-free survival. This was 26.7 months for </w:t>
      </w:r>
      <w:r w:rsidR="007F720C">
        <w:rPr>
          <w:rFonts w:ascii="Times New Roman" w:eastAsia="MS Mincho" w:hAnsi="Times New Roman"/>
        </w:rPr>
        <w:t>Gazyvaro</w:t>
      </w:r>
      <w:r w:rsidRPr="00A260ED">
        <w:rPr>
          <w:rFonts w:ascii="Times New Roman" w:eastAsia="MS Mincho" w:hAnsi="Times New Roman"/>
        </w:rPr>
        <w:t xml:space="preserve"> plus chlorambucil vs 11.1 months for chlorambucil (HR</w:t>
      </w:r>
      <w:r w:rsidRPr="00A260ED">
        <w:rPr>
          <w:rFonts w:ascii="Times New Roman" w:hAnsi="Times New Roman"/>
        </w:rPr>
        <w:t> </w:t>
      </w:r>
      <w:r w:rsidRPr="00A260ED">
        <w:rPr>
          <w:rFonts w:ascii="Times New Roman" w:eastAsia="MS Mincho" w:hAnsi="Times New Roman"/>
        </w:rPr>
        <w:t>0.18 [95%</w:t>
      </w:r>
      <w:r w:rsidRPr="00A260ED">
        <w:rPr>
          <w:rFonts w:ascii="Times New Roman" w:hAnsi="Times New Roman"/>
        </w:rPr>
        <w:t> </w:t>
      </w:r>
      <w:r w:rsidRPr="00A260ED">
        <w:rPr>
          <w:rFonts w:ascii="Times New Roman" w:eastAsia="MS Mincho" w:hAnsi="Times New Roman"/>
        </w:rPr>
        <w:t>CI 0.13, 0.24</w:t>
      </w:r>
      <w:r w:rsidRPr="00A260ED">
        <w:rPr>
          <w:rFonts w:ascii="Times New Roman" w:hAnsi="Times New Roman"/>
        </w:rPr>
        <w:t>),</w:t>
      </w:r>
      <w:r w:rsidRPr="00A260ED">
        <w:rPr>
          <w:rFonts w:ascii="Times New Roman" w:eastAsia="MS Mincho" w:hAnsi="Times New Roman"/>
        </w:rPr>
        <w:t xml:space="preserve"> p</w:t>
      </w:r>
      <w:r w:rsidRPr="00A260ED">
        <w:rPr>
          <w:rFonts w:ascii="Times New Roman" w:hAnsi="Times New Roman"/>
        </w:rPr>
        <w:t> </w:t>
      </w:r>
      <w:r w:rsidRPr="00A260ED">
        <w:rPr>
          <w:rFonts w:ascii="Times New Roman" w:eastAsia="MS Mincho" w:hAnsi="Times New Roman"/>
        </w:rPr>
        <w:t>&lt;0.0001) and 15.7 months for MabThera plus chlorambucil (HR</w:t>
      </w:r>
      <w:r w:rsidRPr="00A260ED">
        <w:rPr>
          <w:rFonts w:ascii="Times New Roman" w:hAnsi="Times New Roman"/>
        </w:rPr>
        <w:t> </w:t>
      </w:r>
      <w:r w:rsidRPr="00A260ED">
        <w:rPr>
          <w:rFonts w:ascii="Times New Roman" w:eastAsia="MS Mincho" w:hAnsi="Times New Roman"/>
        </w:rPr>
        <w:t>0.32 [95%</w:t>
      </w:r>
      <w:r w:rsidRPr="00A260ED">
        <w:rPr>
          <w:rFonts w:ascii="Times New Roman" w:hAnsi="Times New Roman"/>
        </w:rPr>
        <w:t> </w:t>
      </w:r>
      <w:r w:rsidRPr="00A260ED">
        <w:rPr>
          <w:rFonts w:ascii="Times New Roman" w:eastAsia="MS Mincho" w:hAnsi="Times New Roman"/>
        </w:rPr>
        <w:t>CI 0.24, 0.44</w:t>
      </w:r>
      <w:r w:rsidRPr="00A260ED">
        <w:rPr>
          <w:rFonts w:ascii="Times New Roman" w:hAnsi="Times New Roman"/>
        </w:rPr>
        <w:t>),</w:t>
      </w:r>
      <w:r w:rsidRPr="00A260ED">
        <w:rPr>
          <w:rFonts w:ascii="Times New Roman" w:eastAsia="MS Mincho" w:hAnsi="Times New Roman"/>
        </w:rPr>
        <w:t xml:space="preserve"> p</w:t>
      </w:r>
      <w:r w:rsidRPr="00A260ED">
        <w:rPr>
          <w:rFonts w:ascii="Times New Roman" w:hAnsi="Times New Roman"/>
        </w:rPr>
        <w:t> </w:t>
      </w:r>
      <w:r w:rsidRPr="00A260ED">
        <w:rPr>
          <w:rFonts w:ascii="Times New Roman" w:eastAsia="MS Mincho" w:hAnsi="Times New Roman"/>
        </w:rPr>
        <w:t xml:space="preserve">&lt;0.0001). The difference </w:t>
      </w:r>
      <w:r w:rsidR="007F720C">
        <w:rPr>
          <w:rFonts w:ascii="Times New Roman" w:eastAsia="MS Mincho" w:hAnsi="Times New Roman"/>
        </w:rPr>
        <w:t>Gazyvaro</w:t>
      </w:r>
      <w:r w:rsidRPr="00A260ED">
        <w:rPr>
          <w:rFonts w:ascii="Times New Roman" w:eastAsia="MS Mincho" w:hAnsi="Times New Roman"/>
        </w:rPr>
        <w:t xml:space="preserve"> vs MabThera was also significant with HR 0.39 (95%</w:t>
      </w:r>
      <w:r w:rsidRPr="00A260ED">
        <w:rPr>
          <w:rFonts w:ascii="Times New Roman" w:hAnsi="Times New Roman"/>
        </w:rPr>
        <w:t> </w:t>
      </w:r>
      <w:r w:rsidRPr="00A260ED">
        <w:rPr>
          <w:rFonts w:ascii="Times New Roman" w:eastAsia="MS Mincho" w:hAnsi="Times New Roman"/>
        </w:rPr>
        <w:t xml:space="preserve">CI 0.31, 0.49), p&lt;0.0001. Analysis by an independent review committee produced similar results. The response rate was 78.4% in the </w:t>
      </w:r>
      <w:r w:rsidR="007F720C">
        <w:rPr>
          <w:rFonts w:ascii="Times New Roman" w:eastAsia="MS Mincho" w:hAnsi="Times New Roman"/>
        </w:rPr>
        <w:t>Gazyvaro</w:t>
      </w:r>
      <w:r w:rsidRPr="00A260ED">
        <w:rPr>
          <w:rFonts w:ascii="Times New Roman" w:eastAsia="MS Mincho" w:hAnsi="Times New Roman"/>
        </w:rPr>
        <w:t xml:space="preserve"> plus chlorambucil arm, 65% in the MabThera plus chlorambucil arm and 31.4% with chlorambucil alone.</w:t>
      </w:r>
    </w:p>
    <w:p w14:paraId="297DBEB2" w14:textId="0A64FDD8"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26% of patients had molecular remission on treatment with </w:t>
      </w:r>
      <w:r w:rsidR="007F720C">
        <w:rPr>
          <w:rFonts w:ascii="Times New Roman" w:eastAsia="MS Mincho" w:hAnsi="Times New Roman"/>
        </w:rPr>
        <w:t>Gazyvaro</w:t>
      </w:r>
      <w:r w:rsidRPr="00A260ED">
        <w:rPr>
          <w:rFonts w:ascii="Times New Roman" w:eastAsia="MS Mincho" w:hAnsi="Times New Roman"/>
        </w:rPr>
        <w:t>.</w:t>
      </w:r>
    </w:p>
    <w:p w14:paraId="58096D68" w14:textId="24E7F613"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44% of patients treated with </w:t>
      </w:r>
      <w:r w:rsidR="007F720C">
        <w:rPr>
          <w:rFonts w:ascii="Times New Roman" w:eastAsia="MS Mincho" w:hAnsi="Times New Roman"/>
        </w:rPr>
        <w:t>Gazyvaro</w:t>
      </w:r>
      <w:r w:rsidRPr="00A260ED">
        <w:rPr>
          <w:rFonts w:ascii="Times New Roman" w:eastAsia="MS Mincho" w:hAnsi="Times New Roman"/>
        </w:rPr>
        <w:t xml:space="preserve"> plus chlorambucil were 75 years or older (median age was 73 years). These patients experienced more serious adverse events and adverse events leading to death than patients under 75 years of age. No significant differences in efficacy were observed between patients ≥75 years of age and those &lt;75 years of age.</w:t>
      </w:r>
    </w:p>
    <w:p w14:paraId="7CB71834" w14:textId="03641B9F" w:rsidR="00B6112F" w:rsidRPr="00A260ED" w:rsidRDefault="00B6112F" w:rsidP="00EB2A24">
      <w:pPr>
        <w:pStyle w:val="J2"/>
        <w:rPr>
          <w:rFonts w:ascii="Times New Roman" w:hAnsi="Times New Roman"/>
        </w:rPr>
      </w:pPr>
      <w:r w:rsidRPr="00A260ED">
        <w:rPr>
          <w:rFonts w:ascii="Times New Roman" w:hAnsi="Times New Roman"/>
        </w:rPr>
        <w:t xml:space="preserve">91% (40 out of 44) of evaluable patients treated with </w:t>
      </w:r>
      <w:r w:rsidR="007F720C">
        <w:rPr>
          <w:rFonts w:ascii="Times New Roman" w:hAnsi="Times New Roman"/>
        </w:rPr>
        <w:t>Gazyvaro</w:t>
      </w:r>
      <w:r w:rsidRPr="00A260ED">
        <w:rPr>
          <w:rFonts w:ascii="Times New Roman" w:hAnsi="Times New Roman"/>
        </w:rPr>
        <w:t xml:space="preserve"> displayed B cell depletion (defined as CD19+ B cell counts &lt;0.07 × 10</w:t>
      </w:r>
      <w:r w:rsidRPr="00A260ED">
        <w:rPr>
          <w:rFonts w:ascii="Times New Roman" w:hAnsi="Times New Roman"/>
          <w:vertAlign w:val="superscript"/>
        </w:rPr>
        <w:t>9</w:t>
      </w:r>
      <w:r w:rsidRPr="00A260ED">
        <w:rPr>
          <w:rFonts w:ascii="Times New Roman" w:hAnsi="Times New Roman"/>
        </w:rPr>
        <w:t>/l) at the end of the treatment period, which persisted during the 6-months of follow-up. Recovery of B cells was observed within 12 to 18 months of follow-up in 35% (14 out of 40) of patients without progressive disease and 13% (5 out of 40) with progressive disease.</w:t>
      </w:r>
    </w:p>
    <w:p w14:paraId="17287289" w14:textId="7A171797" w:rsidR="00B6112F" w:rsidRPr="00A260ED" w:rsidRDefault="00B6112F">
      <w:pPr>
        <w:pStyle w:val="J1"/>
        <w:rPr>
          <w:rFonts w:ascii="Times New Roman" w:hAnsi="Times New Roman"/>
        </w:rPr>
      </w:pPr>
      <w:r w:rsidRPr="00A260ED">
        <w:rPr>
          <w:rFonts w:ascii="Times New Roman" w:hAnsi="Times New Roman"/>
        </w:rPr>
        <w:t xml:space="preserve">At a later study cut-off date (10 October 2017), patients treated with </w:t>
      </w:r>
      <w:r w:rsidR="007F720C">
        <w:rPr>
          <w:rFonts w:ascii="Times New Roman" w:hAnsi="Times New Roman"/>
        </w:rPr>
        <w:t>Gazyvaro</w:t>
      </w:r>
      <w:r w:rsidRPr="00A260ED">
        <w:rPr>
          <w:rFonts w:ascii="Times New Roman" w:hAnsi="Times New Roman"/>
        </w:rPr>
        <w:t xml:space="preserve"> plus chlorambucil showed a clinically meaningful improvement in survival compared to both patients treated with chlorambucil alone and to patients treated with MabThera plus chlorambucil (OS HR 0.68 95% CI 0.49, 0.94 and HR 0.76 95% CI 0.60, 0.97). The mean observation period for OS data collection was 62.5 months for </w:t>
      </w:r>
      <w:r w:rsidR="007F720C">
        <w:rPr>
          <w:rFonts w:ascii="Times New Roman" w:hAnsi="Times New Roman"/>
        </w:rPr>
        <w:t>Gazyvaro</w:t>
      </w:r>
      <w:r w:rsidRPr="00A260ED">
        <w:rPr>
          <w:rFonts w:ascii="Times New Roman" w:hAnsi="Times New Roman"/>
        </w:rPr>
        <w:t xml:space="preserve"> plus chlorambucil vs chlorambucil (stage 1) and 59.4 months for </w:t>
      </w:r>
      <w:r w:rsidR="007F720C">
        <w:rPr>
          <w:rFonts w:ascii="Times New Roman" w:hAnsi="Times New Roman"/>
        </w:rPr>
        <w:t>Gazyvaro</w:t>
      </w:r>
      <w:r w:rsidRPr="00A260ED">
        <w:rPr>
          <w:rFonts w:ascii="Times New Roman" w:hAnsi="Times New Roman"/>
        </w:rPr>
        <w:t xml:space="preserve"> plus chlorambucil vs MabThera plus chlorambucil (stage 2).</w:t>
      </w:r>
    </w:p>
    <w:p w14:paraId="05BEBE20" w14:textId="77777777" w:rsidR="00B6112F" w:rsidRPr="00A260ED" w:rsidRDefault="00B6112F" w:rsidP="00EB2A24">
      <w:pPr>
        <w:pStyle w:val="Heading2"/>
        <w:numPr>
          <w:ilvl w:val="0"/>
          <w:numId w:val="0"/>
        </w:numPr>
        <w:ind w:left="1134" w:hanging="1134"/>
        <w:rPr>
          <w:rFonts w:ascii="Times New Roman" w:eastAsia="MS Mincho" w:hAnsi="Times New Roman"/>
          <w:sz w:val="22"/>
          <w:lang w:val="en-GB"/>
        </w:rPr>
      </w:pPr>
      <w:r w:rsidRPr="00A260ED">
        <w:rPr>
          <w:rFonts w:ascii="Times New Roman" w:eastAsia="MS Mincho" w:hAnsi="Times New Roman"/>
          <w:i/>
          <w:sz w:val="22"/>
          <w:lang w:val="en-GB"/>
        </w:rPr>
        <w:t>Non-Hodgkin’s lymphoma (follicular lymphoma)</w:t>
      </w:r>
    </w:p>
    <w:p w14:paraId="019088A0" w14:textId="77777777" w:rsidR="00B6112F" w:rsidRPr="00A260ED" w:rsidRDefault="00B6112F" w:rsidP="00EB2A24">
      <w:pPr>
        <w:pStyle w:val="Heading2a"/>
        <w:rPr>
          <w:rFonts w:ascii="Times New Roman" w:hAnsi="Times New Roman"/>
        </w:rPr>
      </w:pPr>
      <w:r w:rsidRPr="00A260ED">
        <w:rPr>
          <w:rFonts w:ascii="Times New Roman" w:hAnsi="Times New Roman"/>
        </w:rPr>
        <w:t>Previously untreated follicular lymphoma</w:t>
      </w:r>
    </w:p>
    <w:p w14:paraId="20D6220B" w14:textId="11D8B1B9" w:rsidR="00B6112F" w:rsidRPr="00A260ED" w:rsidRDefault="00B6112F">
      <w:pPr>
        <w:pStyle w:val="J1"/>
        <w:rPr>
          <w:rFonts w:ascii="Times New Roman" w:hAnsi="Times New Roman"/>
        </w:rPr>
      </w:pPr>
      <w:r w:rsidRPr="00A260ED">
        <w:rPr>
          <w:rFonts w:ascii="Times New Roman" w:hAnsi="Times New Roman"/>
        </w:rPr>
        <w:t>A multicentre, open-label, randomised phase III study (BO21223/GALLIUM) evaluated 1202 previously untreated patients with stage II (bulky disease)/III/IV follicular lymphoma (FL) grade 1</w:t>
      </w:r>
      <w:r w:rsidRPr="00A260ED">
        <w:rPr>
          <w:rFonts w:ascii="Times New Roman" w:hAnsi="Times New Roman"/>
        </w:rPr>
        <w:noBreakHyphen/>
        <w:t xml:space="preserve">3a. The patients had to require systemic treatment according to the GELF criteria. Patients were randomised 1:1 to receive either </w:t>
      </w:r>
      <w:r w:rsidR="007F720C">
        <w:rPr>
          <w:rFonts w:ascii="Times New Roman" w:hAnsi="Times New Roman"/>
        </w:rPr>
        <w:t>Gazyvaro</w:t>
      </w:r>
      <w:r w:rsidRPr="00A260ED">
        <w:rPr>
          <w:rFonts w:ascii="Times New Roman" w:hAnsi="Times New Roman"/>
        </w:rPr>
        <w:t xml:space="preserve"> or MabThera in combination with chemotherapy (CHOP, CVP or bendamustine), followed by </w:t>
      </w:r>
      <w:r w:rsidR="007F720C">
        <w:rPr>
          <w:rFonts w:ascii="Times New Roman" w:hAnsi="Times New Roman"/>
        </w:rPr>
        <w:t>Gazyvaro</w:t>
      </w:r>
      <w:r w:rsidRPr="00A260ED">
        <w:rPr>
          <w:rFonts w:ascii="Times New Roman" w:hAnsi="Times New Roman"/>
        </w:rPr>
        <w:t xml:space="preserve"> or MabThera maintenance therapy in patients with a complete or partial response. The demographic data and baseline characteristics in the FL population were well balanced between the treatment arms. </w:t>
      </w:r>
      <w:r w:rsidR="007F720C">
        <w:rPr>
          <w:rFonts w:ascii="Times New Roman" w:hAnsi="Times New Roman"/>
        </w:rPr>
        <w:t>Gazyvaro</w:t>
      </w:r>
      <w:r w:rsidRPr="00A260ED">
        <w:rPr>
          <w:rFonts w:ascii="Times New Roman" w:hAnsi="Times New Roman"/>
        </w:rPr>
        <w:t xml:space="preserve"> (1000 mg) was administered intravenously prior to chemotherapy (see “Dosage/Administration”). Bendamustine was administered at a dosage of 90 mg/m</w:t>
      </w:r>
      <w:r w:rsidRPr="00A260ED">
        <w:rPr>
          <w:rFonts w:ascii="Times New Roman" w:hAnsi="Times New Roman"/>
          <w:vertAlign w:val="superscript"/>
        </w:rPr>
        <w:t>2</w:t>
      </w:r>
      <w:r w:rsidRPr="00A260ED">
        <w:rPr>
          <w:rFonts w:ascii="Times New Roman" w:hAnsi="Times New Roman"/>
        </w:rPr>
        <w:t xml:space="preserve">/day intravenously in </w:t>
      </w:r>
      <w:r w:rsidRPr="00A260ED">
        <w:rPr>
          <w:rFonts w:ascii="Times New Roman" w:hAnsi="Times New Roman"/>
        </w:rPr>
        <w:lastRenderedPageBreak/>
        <w:t xml:space="preserve">combination with </w:t>
      </w:r>
      <w:r w:rsidR="007F720C">
        <w:rPr>
          <w:rFonts w:ascii="Times New Roman" w:hAnsi="Times New Roman"/>
        </w:rPr>
        <w:t>Gazyvaro</w:t>
      </w:r>
      <w:r w:rsidRPr="00A260ED">
        <w:rPr>
          <w:rFonts w:ascii="Times New Roman" w:hAnsi="Times New Roman"/>
        </w:rPr>
        <w:t xml:space="preserve"> on days 1 and 2 in all treatment cycles (cycles 1</w:t>
      </w:r>
      <w:r w:rsidRPr="00A260ED">
        <w:rPr>
          <w:rFonts w:ascii="Times New Roman" w:hAnsi="Times New Roman"/>
        </w:rPr>
        <w:noBreakHyphen/>
        <w:t xml:space="preserve">6). CHOP and CVP were given at the standard dosage in combination with </w:t>
      </w:r>
      <w:r w:rsidR="007F720C">
        <w:rPr>
          <w:rFonts w:ascii="Times New Roman" w:hAnsi="Times New Roman"/>
        </w:rPr>
        <w:t>Gazyvaro</w:t>
      </w:r>
      <w:r w:rsidRPr="00A260ED">
        <w:rPr>
          <w:rFonts w:ascii="Times New Roman" w:hAnsi="Times New Roman"/>
        </w:rPr>
        <w:t>. After cycles 6</w:t>
      </w:r>
      <w:r w:rsidRPr="00A260ED">
        <w:rPr>
          <w:rFonts w:ascii="Times New Roman" w:hAnsi="Times New Roman"/>
        </w:rPr>
        <w:noBreakHyphen/>
        <w:t xml:space="preserve">8, in which </w:t>
      </w:r>
      <w:r w:rsidR="007F720C">
        <w:rPr>
          <w:rFonts w:ascii="Times New Roman" w:hAnsi="Times New Roman"/>
        </w:rPr>
        <w:t>Gazyvaro</w:t>
      </w:r>
      <w:r w:rsidRPr="00A260ED">
        <w:rPr>
          <w:rFonts w:ascii="Times New Roman" w:hAnsi="Times New Roman"/>
        </w:rPr>
        <w:t xml:space="preserve"> was used in combination with chemotherapy, responding patients received </w:t>
      </w:r>
      <w:r w:rsidR="007F720C">
        <w:rPr>
          <w:rFonts w:ascii="Times New Roman" w:hAnsi="Times New Roman"/>
        </w:rPr>
        <w:t>Gazyvaro</w:t>
      </w:r>
      <w:r w:rsidRPr="00A260ED">
        <w:rPr>
          <w:rFonts w:ascii="Times New Roman" w:hAnsi="Times New Roman"/>
        </w:rPr>
        <w:t xml:space="preserve"> maintenance therapy every 2 months for 2 years or until disease progression. The primary efficacy analysis, based on investigator assessment after a median observation period of 35 months, showed a statistically significant 34% reduction in the risk of progressive disease (PD) or death in FL patients who received </w:t>
      </w:r>
      <w:r w:rsidR="007F720C">
        <w:rPr>
          <w:rFonts w:ascii="Times New Roman" w:hAnsi="Times New Roman"/>
        </w:rPr>
        <w:t>Gazyvaro</w:t>
      </w:r>
      <w:r w:rsidRPr="00A260ED">
        <w:rPr>
          <w:rFonts w:ascii="Times New Roman" w:hAnsi="Times New Roman"/>
        </w:rPr>
        <w:t xml:space="preserve"> + chemotherapy followed by </w:t>
      </w:r>
      <w:r w:rsidR="007F720C">
        <w:rPr>
          <w:rFonts w:ascii="Times New Roman" w:hAnsi="Times New Roman"/>
        </w:rPr>
        <w:t>Gazyvaro</w:t>
      </w:r>
      <w:r w:rsidRPr="00A260ED">
        <w:rPr>
          <w:rFonts w:ascii="Times New Roman" w:hAnsi="Times New Roman"/>
        </w:rPr>
        <w:t xml:space="preserve"> maintenance therapy compared to patients who received MabThera plus chemotherapy followed by MabThera maintenance therapy (hazard ratio [HR] 0.66; 95% CI: 0.51, 0.85, p-value [stratified log-rank test] = 0.0012).</w:t>
      </w:r>
    </w:p>
    <w:p w14:paraId="51E4B126" w14:textId="77777777" w:rsidR="00B6112F" w:rsidRPr="00A260ED" w:rsidRDefault="00B6112F" w:rsidP="00902A15">
      <w:pPr>
        <w:pStyle w:val="Heading5"/>
        <w:numPr>
          <w:ilvl w:val="0"/>
          <w:numId w:val="0"/>
        </w:numPr>
        <w:ind w:left="1701" w:hanging="1701"/>
        <w:rPr>
          <w:rFonts w:ascii="Times New Roman" w:hAnsi="Times New Roman"/>
          <w:sz w:val="22"/>
        </w:rPr>
      </w:pPr>
      <w:r w:rsidRPr="00A260ED">
        <w:rPr>
          <w:rFonts w:ascii="Times New Roman" w:hAnsi="Times New Roman"/>
          <w:sz w:val="22"/>
        </w:rPr>
        <w:t>Further important endpoints</w:t>
      </w:r>
      <w:r w:rsidRPr="00A260ED">
        <w:rPr>
          <w:rFonts w:ascii="Times New Roman" w:hAnsi="Times New Roman"/>
          <w:sz w:val="22"/>
          <w:vertAlign w:val="superscript"/>
        </w:rPr>
        <w:t>#</w:t>
      </w:r>
    </w:p>
    <w:p w14:paraId="4D6CEA24" w14:textId="77777777" w:rsidR="00B6112F" w:rsidRPr="00A260ED" w:rsidRDefault="00B6112F">
      <w:pPr>
        <w:pStyle w:val="J1"/>
        <w:rPr>
          <w:rFonts w:ascii="Times New Roman" w:hAnsi="Times New Roman"/>
        </w:rPr>
      </w:pPr>
      <w:r w:rsidRPr="00A260ED">
        <w:rPr>
          <w:rFonts w:ascii="Times New Roman" w:hAnsi="Times New Roman"/>
        </w:rPr>
        <w:t>Supportive analysis of progression-free survival (PFS) as assessed by an independent review committee (IRC) showed a 29% reduction in the risk of PD or death (HR 0.71; 95% CI: 0.54, 0.93).</w:t>
      </w:r>
    </w:p>
    <w:p w14:paraId="665F3573" w14:textId="072F6EEC" w:rsidR="00B6112F" w:rsidRPr="00A260ED" w:rsidRDefault="00B6112F">
      <w:pPr>
        <w:pStyle w:val="J1"/>
        <w:rPr>
          <w:rFonts w:ascii="Times New Roman" w:hAnsi="Times New Roman"/>
        </w:rPr>
      </w:pPr>
      <w:r w:rsidRPr="00A260ED">
        <w:rPr>
          <w:rFonts w:ascii="Times New Roman" w:hAnsi="Times New Roman"/>
        </w:rPr>
        <w:t xml:space="preserve">A total of 81 randomised patients had died: 46/601 patients (7.7%) in the MabThera plus chemotherapy arm and 35/601 patients (5.8%) in the </w:t>
      </w:r>
      <w:r w:rsidR="007F720C">
        <w:rPr>
          <w:rFonts w:ascii="Times New Roman" w:hAnsi="Times New Roman"/>
        </w:rPr>
        <w:t>Gazyvaro</w:t>
      </w:r>
      <w:r w:rsidRPr="00A260ED">
        <w:rPr>
          <w:rFonts w:ascii="Times New Roman" w:hAnsi="Times New Roman"/>
        </w:rPr>
        <w:t xml:space="preserve"> plus chemotherapy arm (HR 0.75 [95% CI: 0.49, 1.17]).</w:t>
      </w:r>
    </w:p>
    <w:p w14:paraId="6D927CD4" w14:textId="562E8F30" w:rsidR="00B6112F" w:rsidRPr="00A260ED" w:rsidRDefault="00B6112F">
      <w:pPr>
        <w:pStyle w:val="J1"/>
        <w:rPr>
          <w:rFonts w:ascii="Times New Roman" w:hAnsi="Times New Roman"/>
        </w:rPr>
      </w:pPr>
      <w:r w:rsidRPr="00A260ED">
        <w:rPr>
          <w:rFonts w:ascii="Times New Roman" w:hAnsi="Times New Roman"/>
        </w:rPr>
        <w:t xml:space="preserve">The estimated probability of being alive and not requiring new anti-lymphoma treatment (NALT) after 3 years was 81.2% (95% CI: 77.6, 84.2) in the MabThera plus chemotherapy arm and 87.1% (95% CI: 84.0, 89.6) in the </w:t>
      </w:r>
      <w:r w:rsidR="007F720C">
        <w:rPr>
          <w:rFonts w:ascii="Times New Roman" w:hAnsi="Times New Roman"/>
        </w:rPr>
        <w:t>Gazyvaro</w:t>
      </w:r>
      <w:r w:rsidRPr="00A260ED">
        <w:rPr>
          <w:rFonts w:ascii="Times New Roman" w:hAnsi="Times New Roman"/>
        </w:rPr>
        <w:t xml:space="preserve"> plus chemotherapy arm (HR 0.68 [95% CI: 0.51, 0.91]).</w:t>
      </w:r>
    </w:p>
    <w:p w14:paraId="27CBBB1E" w14:textId="7618EED4" w:rsidR="00B6112F" w:rsidRPr="00A260ED" w:rsidRDefault="00B6112F">
      <w:pPr>
        <w:pStyle w:val="J1"/>
        <w:rPr>
          <w:rFonts w:ascii="Times New Roman" w:hAnsi="Times New Roman"/>
        </w:rPr>
      </w:pPr>
      <w:r w:rsidRPr="00A260ED">
        <w:rPr>
          <w:rFonts w:ascii="Times New Roman" w:hAnsi="Times New Roman"/>
        </w:rPr>
        <w:t xml:space="preserve">Based on investigator assessment (from CT scans according to 2007 IWG criteria), the overall response rate (complete [CR] or partial response) at the end of induction was 87% in the MabThera plus chemotherapy arm [95% CI: 83.9, 89.5] and 89% in the </w:t>
      </w:r>
      <w:r w:rsidR="007F720C">
        <w:rPr>
          <w:rFonts w:ascii="Times New Roman" w:hAnsi="Times New Roman"/>
        </w:rPr>
        <w:t>Gazyvaro</w:t>
      </w:r>
      <w:r w:rsidRPr="00A260ED">
        <w:rPr>
          <w:rFonts w:ascii="Times New Roman" w:hAnsi="Times New Roman"/>
        </w:rPr>
        <w:t xml:space="preserve"> plus chemotherapy arm (p = 0.33, Cochran-Mantel-Haenszel test). The CR rate was 24% in the MabThera plus chemotherapy arm (95% CI: 20.4, 27.4) and 20% in the </w:t>
      </w:r>
      <w:r w:rsidR="007F720C">
        <w:rPr>
          <w:rFonts w:ascii="Times New Roman" w:hAnsi="Times New Roman"/>
        </w:rPr>
        <w:t>Gazyvaro</w:t>
      </w:r>
      <w:r w:rsidRPr="00A260ED">
        <w:rPr>
          <w:rFonts w:ascii="Times New Roman" w:hAnsi="Times New Roman"/>
        </w:rPr>
        <w:t xml:space="preserve"> plus chemotherapy arm (95% CI: 16.4, 22.9). The investigator-assessed CR rates based on combined CT/positron emission tomography (PET) in a subgroup of 595 patients at the end of induction were 57% in the MabThera plus chemotherapy arm compared to 62% in the </w:t>
      </w:r>
      <w:r w:rsidR="007F720C">
        <w:rPr>
          <w:rFonts w:ascii="Times New Roman" w:hAnsi="Times New Roman"/>
        </w:rPr>
        <w:t>Gazyvaro</w:t>
      </w:r>
      <w:r w:rsidRPr="00A260ED">
        <w:rPr>
          <w:rFonts w:ascii="Times New Roman" w:hAnsi="Times New Roman"/>
        </w:rPr>
        <w:t xml:space="preserve"> plus chemotherapy arm.</w:t>
      </w:r>
    </w:p>
    <w:p w14:paraId="4DD6292B" w14:textId="77777777" w:rsidR="00B6112F" w:rsidRPr="00A260ED" w:rsidRDefault="00B6112F">
      <w:pPr>
        <w:pStyle w:val="J1"/>
        <w:rPr>
          <w:rFonts w:ascii="Times New Roman" w:hAnsi="Times New Roman"/>
          <w:i/>
        </w:rPr>
      </w:pPr>
      <w:r w:rsidRPr="00A260ED">
        <w:rPr>
          <w:rFonts w:ascii="Times New Roman" w:hAnsi="Times New Roman"/>
          <w:i/>
          <w:vertAlign w:val="superscript"/>
        </w:rPr>
        <w:t>#</w:t>
      </w:r>
      <w:r w:rsidRPr="00A260ED">
        <w:rPr>
          <w:rFonts w:ascii="Times New Roman" w:hAnsi="Times New Roman"/>
          <w:i/>
        </w:rPr>
        <w:t> </w:t>
      </w:r>
      <w:proofErr w:type="gramStart"/>
      <w:r w:rsidRPr="00A260ED">
        <w:rPr>
          <w:rFonts w:ascii="Times New Roman" w:hAnsi="Times New Roman"/>
          <w:i/>
        </w:rPr>
        <w:t>not</w:t>
      </w:r>
      <w:proofErr w:type="gramEnd"/>
      <w:r w:rsidRPr="00A260ED">
        <w:rPr>
          <w:rFonts w:ascii="Times New Roman" w:hAnsi="Times New Roman"/>
          <w:i/>
        </w:rPr>
        <w:t xml:space="preserve"> significant according to a sequential hierarchical testing procedure</w:t>
      </w:r>
    </w:p>
    <w:p w14:paraId="2BF62419" w14:textId="77777777" w:rsidR="00B6112F" w:rsidRPr="00A260ED" w:rsidRDefault="00B6112F" w:rsidP="00EB2A24">
      <w:pPr>
        <w:pStyle w:val="J1"/>
        <w:rPr>
          <w:rFonts w:ascii="Times New Roman" w:hAnsi="Times New Roman"/>
        </w:rPr>
      </w:pPr>
      <w:r w:rsidRPr="00A260ED">
        <w:rPr>
          <w:rFonts w:ascii="Times New Roman" w:hAnsi="Times New Roman"/>
        </w:rPr>
        <w:t>The results of the relevant PFS subgroup analyses were consistent overall with the results observed in the FL population.</w:t>
      </w:r>
    </w:p>
    <w:p w14:paraId="1CD3A5E1" w14:textId="77777777" w:rsidR="00B6112F" w:rsidRPr="00A260ED" w:rsidRDefault="00B6112F" w:rsidP="00902A15">
      <w:pPr>
        <w:pStyle w:val="Heading2"/>
        <w:numPr>
          <w:ilvl w:val="0"/>
          <w:numId w:val="0"/>
        </w:numPr>
        <w:rPr>
          <w:rFonts w:ascii="Times New Roman" w:hAnsi="Times New Roman"/>
          <w:sz w:val="22"/>
        </w:rPr>
      </w:pPr>
      <w:r w:rsidRPr="00A260ED">
        <w:rPr>
          <w:rFonts w:ascii="Times New Roman" w:hAnsi="Times New Roman"/>
          <w:sz w:val="22"/>
        </w:rPr>
        <w:t>Relapsed/refractory follicular lymphoma</w:t>
      </w:r>
    </w:p>
    <w:p w14:paraId="7E8F778F" w14:textId="3EF8D80E" w:rsidR="00B6112F" w:rsidRPr="00A260ED" w:rsidRDefault="00B6112F" w:rsidP="00902A15">
      <w:pPr>
        <w:pStyle w:val="J1"/>
        <w:rPr>
          <w:rFonts w:ascii="Times New Roman" w:eastAsia="MS Mincho" w:hAnsi="Times New Roman"/>
        </w:rPr>
      </w:pPr>
      <w:r w:rsidRPr="00A260ED">
        <w:rPr>
          <w:rFonts w:ascii="Times New Roman" w:eastAsia="MS Mincho" w:hAnsi="Times New Roman"/>
        </w:rPr>
        <w:t>An open-label, multicentre, randomised phase III study (GAO4753g/GADOLIN) evaluated 396 patients with iNHL who had not responded to treatment with rituximab or a rituximab-containing regimen or in whom disease progression had occurred during or up to 6</w:t>
      </w:r>
      <w:r w:rsidRPr="00A260ED">
        <w:rPr>
          <w:rFonts w:ascii="Times New Roman" w:hAnsi="Times New Roman"/>
        </w:rPr>
        <w:t> </w:t>
      </w:r>
      <w:r w:rsidRPr="00A260ED">
        <w:rPr>
          <w:rFonts w:ascii="Times New Roman" w:eastAsia="MS Mincho" w:hAnsi="Times New Roman"/>
        </w:rPr>
        <w:t>months after such treatment. The patients were randomised 1:1 to treatment with bendamustine (B) alone (n</w:t>
      </w:r>
      <w:r w:rsidRPr="00A260ED">
        <w:rPr>
          <w:rFonts w:ascii="Times New Roman" w:hAnsi="Times New Roman"/>
        </w:rPr>
        <w:t> = </w:t>
      </w:r>
      <w:r w:rsidRPr="00A260ED">
        <w:rPr>
          <w:rFonts w:ascii="Times New Roman" w:eastAsia="MS Mincho" w:hAnsi="Times New Roman"/>
        </w:rPr>
        <w:t xml:space="preserve">202) or </w:t>
      </w:r>
      <w:r w:rsidR="007F720C">
        <w:rPr>
          <w:rFonts w:ascii="Times New Roman" w:eastAsia="MS Mincho" w:hAnsi="Times New Roman"/>
        </w:rPr>
        <w:t>Gazyvaro</w:t>
      </w:r>
      <w:r w:rsidRPr="00A260ED">
        <w:rPr>
          <w:rFonts w:ascii="Times New Roman" w:eastAsia="MS Mincho" w:hAnsi="Times New Roman"/>
        </w:rPr>
        <w:t xml:space="preserve"> in combination with bendamustine (G+B) (n =</w:t>
      </w:r>
      <w:r w:rsidRPr="00A260ED">
        <w:rPr>
          <w:rFonts w:ascii="Times New Roman" w:hAnsi="Times New Roman"/>
        </w:rPr>
        <w:t> </w:t>
      </w:r>
      <w:r w:rsidRPr="00A260ED">
        <w:rPr>
          <w:rFonts w:ascii="Times New Roman" w:eastAsia="MS Mincho" w:hAnsi="Times New Roman"/>
        </w:rPr>
        <w:t xml:space="preserve">194) for six 28-day cycles. Patients in the G+B arm who had not experienced disease progression by the end of induction treatment (i.e. patients with a complete response [CR], partial response [PR] or stable disease [SD]) continued to receive </w:t>
      </w:r>
      <w:r w:rsidR="007F720C">
        <w:rPr>
          <w:rFonts w:ascii="Times New Roman" w:eastAsia="MS Mincho" w:hAnsi="Times New Roman"/>
        </w:rPr>
        <w:t>Gazyvaro</w:t>
      </w:r>
      <w:r w:rsidRPr="00A260ED">
        <w:rPr>
          <w:rFonts w:ascii="Times New Roman" w:eastAsia="MS Mincho" w:hAnsi="Times New Roman"/>
        </w:rPr>
        <w:t xml:space="preserve"> as maintenance therapy until disease progression or for up to two years (whichever occurred first). Demographic and baseline data were well balanced (median age 63 years; the majority of patients were Caucasian [88%] and male [58%]). The median time from initial diagnosis was 3</w:t>
      </w:r>
      <w:r w:rsidRPr="00A260ED">
        <w:rPr>
          <w:rFonts w:ascii="Times New Roman" w:hAnsi="Times New Roman"/>
        </w:rPr>
        <w:t> </w:t>
      </w:r>
      <w:r w:rsidRPr="00A260ED">
        <w:rPr>
          <w:rFonts w:ascii="Times New Roman" w:eastAsia="MS Mincho" w:hAnsi="Times New Roman"/>
        </w:rPr>
        <w:t>years and the median number of prior therapies was 2 (range 1 to 10); 44% of patients had received one prior therapy, and 34% two prior therapies.</w:t>
      </w:r>
    </w:p>
    <w:p w14:paraId="60EAAC72" w14:textId="77AEBFEA" w:rsidR="00B6112F" w:rsidRPr="00A260ED" w:rsidRDefault="00B6112F" w:rsidP="00902A15">
      <w:pPr>
        <w:pStyle w:val="J1"/>
        <w:rPr>
          <w:rFonts w:ascii="Times New Roman" w:eastAsia="MS Mincho" w:hAnsi="Times New Roman"/>
        </w:rPr>
      </w:pPr>
      <w:r w:rsidRPr="00A260ED">
        <w:rPr>
          <w:rFonts w:ascii="Times New Roman" w:eastAsia="MS Mincho" w:hAnsi="Times New Roman"/>
        </w:rPr>
        <w:t>Obinutuzumab was administered as an intravenous 1000</w:t>
      </w:r>
      <w:r w:rsidRPr="00A260ED">
        <w:rPr>
          <w:rFonts w:ascii="Times New Roman" w:hAnsi="Times New Roman"/>
        </w:rPr>
        <w:t> </w:t>
      </w:r>
      <w:r w:rsidRPr="00A260ED">
        <w:rPr>
          <w:rFonts w:ascii="Times New Roman" w:eastAsia="MS Mincho" w:hAnsi="Times New Roman"/>
        </w:rPr>
        <w:t>mg dose on days 1, 8 and 15 of cycle</w:t>
      </w:r>
      <w:r w:rsidRPr="00A260ED">
        <w:rPr>
          <w:rFonts w:ascii="Times New Roman" w:hAnsi="Times New Roman"/>
        </w:rPr>
        <w:t> </w:t>
      </w:r>
      <w:r w:rsidRPr="00A260ED">
        <w:rPr>
          <w:rFonts w:ascii="Times New Roman" w:eastAsia="MS Mincho" w:hAnsi="Times New Roman"/>
        </w:rPr>
        <w:t>1, on day</w:t>
      </w:r>
      <w:r w:rsidRPr="00A260ED">
        <w:rPr>
          <w:rFonts w:ascii="Times New Roman" w:hAnsi="Times New Roman"/>
        </w:rPr>
        <w:t> </w:t>
      </w:r>
      <w:r w:rsidRPr="00A260ED">
        <w:rPr>
          <w:rFonts w:ascii="Times New Roman" w:eastAsia="MS Mincho" w:hAnsi="Times New Roman"/>
        </w:rPr>
        <w:t>1 of cycles 2</w:t>
      </w:r>
      <w:r w:rsidRPr="00A260ED">
        <w:rPr>
          <w:rFonts w:ascii="Times New Roman" w:hAnsi="Times New Roman"/>
        </w:rPr>
        <w:noBreakHyphen/>
      </w:r>
      <w:r w:rsidRPr="00A260ED">
        <w:rPr>
          <w:rFonts w:ascii="Times New Roman" w:eastAsia="MS Mincho" w:hAnsi="Times New Roman"/>
        </w:rPr>
        <w:t>6 and, in patients without disease progression, every 2 months for up to 2</w:t>
      </w:r>
      <w:r w:rsidRPr="00A260ED">
        <w:rPr>
          <w:rFonts w:ascii="Times New Roman" w:hAnsi="Times New Roman"/>
        </w:rPr>
        <w:t> </w:t>
      </w:r>
      <w:r w:rsidRPr="00A260ED">
        <w:rPr>
          <w:rFonts w:ascii="Times New Roman" w:eastAsia="MS Mincho" w:hAnsi="Times New Roman"/>
        </w:rPr>
        <w:t>years or until disease progression. Bendamustine was administered intravenously on days 1 and 2 of all treatment cycles (cycles 1</w:t>
      </w:r>
      <w:r w:rsidRPr="00A260ED">
        <w:rPr>
          <w:rFonts w:ascii="Times New Roman" w:hAnsi="Times New Roman"/>
        </w:rPr>
        <w:noBreakHyphen/>
      </w:r>
      <w:r w:rsidRPr="00A260ED">
        <w:rPr>
          <w:rFonts w:ascii="Times New Roman" w:eastAsia="MS Mincho" w:hAnsi="Times New Roman"/>
        </w:rPr>
        <w:t>6) at a dosage of 90</w:t>
      </w:r>
      <w:r w:rsidRPr="00A260ED">
        <w:rPr>
          <w:rFonts w:ascii="Times New Roman" w:hAnsi="Times New Roman"/>
        </w:rPr>
        <w:t xml:space="preserve"> </w:t>
      </w:r>
      <w:r w:rsidRPr="00A260ED">
        <w:rPr>
          <w:rFonts w:ascii="Times New Roman" w:eastAsia="MS Mincho" w:hAnsi="Times New Roman"/>
        </w:rPr>
        <w:t>mg/m</w:t>
      </w:r>
      <w:r w:rsidRPr="00A260ED">
        <w:rPr>
          <w:rFonts w:ascii="Times New Roman" w:eastAsia="MS Mincho" w:hAnsi="Times New Roman"/>
          <w:vertAlign w:val="superscript"/>
        </w:rPr>
        <w:t>2</w:t>
      </w:r>
      <w:r w:rsidRPr="00A260ED">
        <w:rPr>
          <w:rFonts w:ascii="Times New Roman" w:eastAsia="MS Mincho" w:hAnsi="Times New Roman"/>
        </w:rPr>
        <w:t xml:space="preserve">/day when combined with </w:t>
      </w:r>
      <w:r w:rsidR="007F720C">
        <w:rPr>
          <w:rFonts w:ascii="Times New Roman" w:eastAsia="MS Mincho" w:hAnsi="Times New Roman"/>
        </w:rPr>
        <w:t>Gazyvaro</w:t>
      </w:r>
      <w:r w:rsidRPr="00A260ED">
        <w:rPr>
          <w:rFonts w:ascii="Times New Roman" w:eastAsia="MS Mincho" w:hAnsi="Times New Roman"/>
        </w:rPr>
        <w:t xml:space="preserve"> or 120 mg/m</w:t>
      </w:r>
      <w:r w:rsidRPr="00A260ED">
        <w:rPr>
          <w:rFonts w:ascii="Times New Roman" w:eastAsia="MS Mincho" w:hAnsi="Times New Roman"/>
          <w:vertAlign w:val="superscript"/>
        </w:rPr>
        <w:t>2</w:t>
      </w:r>
      <w:r w:rsidRPr="00A260ED">
        <w:rPr>
          <w:rFonts w:ascii="Times New Roman" w:eastAsia="MS Mincho" w:hAnsi="Times New Roman"/>
        </w:rPr>
        <w:t>/day when given alone.</w:t>
      </w:r>
    </w:p>
    <w:p w14:paraId="25E6893A" w14:textId="77777777" w:rsidR="00B6112F" w:rsidRPr="00A260ED" w:rsidRDefault="00B6112F" w:rsidP="00902A15">
      <w:pPr>
        <w:pStyle w:val="J1"/>
        <w:rPr>
          <w:rFonts w:ascii="Times New Roman" w:eastAsia="MS Mincho" w:hAnsi="Times New Roman"/>
        </w:rPr>
      </w:pPr>
      <w:r w:rsidRPr="00A260ED">
        <w:rPr>
          <w:rFonts w:ascii="Times New Roman" w:eastAsia="MS Mincho" w:hAnsi="Times New Roman"/>
        </w:rPr>
        <w:t xml:space="preserve">The primary analysis, based on assessment by an independent review committee (IRC), showed a statistically significant and clinically meaningful 45% reduction in the risk of progressive disease (PD) or death in iNHL patients treated with G+B followed by G maintenance therapy compared to treatment with </w:t>
      </w:r>
      <w:r w:rsidRPr="00A260ED">
        <w:rPr>
          <w:rFonts w:ascii="Times New Roman" w:eastAsia="MS Mincho" w:hAnsi="Times New Roman"/>
        </w:rPr>
        <w:lastRenderedPageBreak/>
        <w:t>B alone (HR = 0.55, 95% CI: 0.39, 0.67; stratified log-rank test, p = 0.0001). At the time of the primary analysis, the median time to event in the B arm was 14.9 months (95% CI: 12.8, 16.6), while the median in the G+B arm had not been reached (95% CI: 22.5, not reached). The overall survival (OS) data were not yet mature. The IRC-assessed response rates at the end of induction treatment and the IRC-assessed best overall response within 12 months of treatment start were similar in both arms.</w:t>
      </w:r>
    </w:p>
    <w:p w14:paraId="182B3A8F" w14:textId="77777777" w:rsidR="00B6112F" w:rsidRPr="00A260ED" w:rsidRDefault="00B6112F" w:rsidP="00EB2A24">
      <w:pPr>
        <w:pStyle w:val="J1"/>
        <w:rPr>
          <w:rFonts w:ascii="Times New Roman" w:eastAsia="MS Mincho" w:hAnsi="Times New Roman"/>
        </w:rPr>
      </w:pPr>
      <w:r w:rsidRPr="00A260ED">
        <w:rPr>
          <w:rFonts w:ascii="Times New Roman" w:eastAsia="SimSun" w:hAnsi="Times New Roman"/>
        </w:rPr>
        <w:t>Most patients had follicular lymphoma (FL) (81.1%). The primary analysis in FL patients treated with G+B vs B alone showed a clinically meaningful IRC-assessed 52% reduction in the risk of PD or death (HR = 0.48, 95% CI: 0.34, 0.68). IRC-assessed median progression-free survival (PFS) in the B arm was 13.8 months, while the median in the G+B arm had not yet been reached</w:t>
      </w:r>
      <w:r w:rsidRPr="00A260ED">
        <w:rPr>
          <w:rFonts w:ascii="Times New Roman" w:eastAsia="MS Mincho" w:hAnsi="Times New Roman"/>
        </w:rPr>
        <w:t>.</w:t>
      </w:r>
    </w:p>
    <w:p w14:paraId="4D72342C"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rPr>
        <w:t>Among the patients with non-follicular lymphoma, 11.6% had marginal zone lymphoma (MZL) and 7.1% small lymphocytic lymphoma (SLL). No conclusions can be drawn as to efficacy in MZL and SLL.</w:t>
      </w:r>
    </w:p>
    <w:p w14:paraId="31486CFA" w14:textId="68B13E2F" w:rsidR="00B6112F" w:rsidRPr="00A260ED" w:rsidRDefault="00B6112F">
      <w:pPr>
        <w:pStyle w:val="J1"/>
        <w:rPr>
          <w:rFonts w:ascii="Times New Roman" w:hAnsi="Times New Roman"/>
        </w:rPr>
      </w:pPr>
      <w:r w:rsidRPr="00A260ED">
        <w:rPr>
          <w:rFonts w:ascii="Times New Roman" w:hAnsi="Times New Roman"/>
        </w:rPr>
        <w:t>In the final analysis, the median observation period in FL patients was 45.9 months (range: 0-100.9) in the B arm and 57.3 months (range: 0.4-97.6) in the G+B arm, corresponding to an additional median observation period of 25.6 months and 35.2 months in the B and G+B arms, respectively,</w:t>
      </w:r>
      <w:r w:rsidRPr="00A260ED">
        <w:rPr>
          <w:rFonts w:ascii="Times New Roman" w:hAnsi="Times New Roman"/>
          <w:highlight w:val="yellow"/>
        </w:rPr>
        <w:t xml:space="preserve"> </w:t>
      </w:r>
      <w:r w:rsidRPr="00A260ED">
        <w:rPr>
          <w:rFonts w:ascii="Times New Roman" w:hAnsi="Times New Roman"/>
        </w:rPr>
        <w:t>since the primary analysis. The final analysis reported only the investigator (INV)-assessed endpoints, as the assessments by the independent review committee (IRC) were not continued. Median PFS (INV-assessed) in the FL patient population was 24.1 months (95% CI: 17.4, 36.0) in the G+B arm vs 13.7 months (95% CI: 11.3, 15.3) in the B arm (HR = 0.51, 95% CI: 0.39, 0.67). There were 66 deaths (40.2%) in the G+B arm and 85 deaths (51.3%) in the B arm (OS HR = 0.71, 95% CI: 0.51, 0.98).</w:t>
      </w:r>
    </w:p>
    <w:p w14:paraId="4289895D" w14:textId="77777777" w:rsidR="00B6112F" w:rsidRPr="00A260ED" w:rsidRDefault="00B6112F" w:rsidP="00D151AB">
      <w:pPr>
        <w:pStyle w:val="Heading2"/>
        <w:numPr>
          <w:ilvl w:val="0"/>
          <w:numId w:val="0"/>
        </w:numPr>
        <w:ind w:left="1134" w:hanging="1134"/>
        <w:rPr>
          <w:rFonts w:ascii="Times New Roman" w:hAnsi="Times New Roman"/>
          <w:sz w:val="22"/>
        </w:rPr>
      </w:pPr>
      <w:r w:rsidRPr="00A260ED">
        <w:rPr>
          <w:rFonts w:ascii="Times New Roman" w:hAnsi="Times New Roman"/>
          <w:sz w:val="22"/>
        </w:rPr>
        <w:t>Safety and efficacy in elderly patients</w:t>
      </w:r>
    </w:p>
    <w:p w14:paraId="316786C2" w14:textId="77777777" w:rsidR="00B6112F" w:rsidRPr="00A260ED" w:rsidRDefault="00B6112F" w:rsidP="00D151AB">
      <w:pPr>
        <w:pStyle w:val="Heading2a"/>
        <w:rPr>
          <w:rFonts w:ascii="Times New Roman" w:hAnsi="Times New Roman"/>
        </w:rPr>
      </w:pPr>
      <w:r w:rsidRPr="00A260ED">
        <w:rPr>
          <w:rFonts w:ascii="Times New Roman" w:hAnsi="Times New Roman"/>
        </w:rPr>
        <w:t>Non-Hodgkin’s lymphoma (mainly FL)</w:t>
      </w:r>
    </w:p>
    <w:p w14:paraId="6BA98F60" w14:textId="77777777" w:rsidR="00B6112F" w:rsidRPr="00A260ED" w:rsidRDefault="00B6112F">
      <w:pPr>
        <w:pStyle w:val="J1"/>
        <w:rPr>
          <w:rFonts w:ascii="Times New Roman" w:hAnsi="Times New Roman"/>
        </w:rPr>
      </w:pPr>
      <w:r w:rsidRPr="00A260ED">
        <w:rPr>
          <w:rFonts w:ascii="Times New Roman" w:hAnsi="Times New Roman"/>
        </w:rPr>
        <w:t>In the pivotal studies in iNHL, patients aged 65 years or older experienced more serious adverse events and adverse events leading to treatment discontinuation or death than patients under 65 years of age. No clinically meaningful differences in efficacy were observed.</w:t>
      </w:r>
    </w:p>
    <w:p w14:paraId="62EE39FA" w14:textId="77777777" w:rsidR="00B6112F" w:rsidRPr="00A260ED" w:rsidRDefault="00B6112F" w:rsidP="00EB2A24">
      <w:pPr>
        <w:pStyle w:val="Heading4"/>
        <w:numPr>
          <w:ilvl w:val="0"/>
          <w:numId w:val="0"/>
        </w:numPr>
        <w:ind w:left="1134" w:hanging="1134"/>
        <w:rPr>
          <w:rFonts w:ascii="Times New Roman" w:eastAsia="MS Mincho" w:hAnsi="Times New Roman"/>
          <w:b w:val="0"/>
          <w:sz w:val="22"/>
          <w:lang w:val="en-GB"/>
        </w:rPr>
      </w:pPr>
      <w:r w:rsidRPr="00A260ED">
        <w:rPr>
          <w:rFonts w:ascii="Times New Roman" w:eastAsia="MS Mincho" w:hAnsi="Times New Roman"/>
          <w:sz w:val="22"/>
          <w:lang w:val="en-GB"/>
        </w:rPr>
        <w:t>Immunogenicity</w:t>
      </w:r>
    </w:p>
    <w:p w14:paraId="68331F6F" w14:textId="18E39D67"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CLL patients in the pivotal trial, BO21004/CLL11, were tested at multiple time-points for anti-therapeutic antibodies (ATA) to </w:t>
      </w:r>
      <w:r w:rsidR="007F720C">
        <w:rPr>
          <w:rFonts w:ascii="Times New Roman" w:eastAsia="MS Mincho" w:hAnsi="Times New Roman"/>
        </w:rPr>
        <w:t>Gazyvaro</w:t>
      </w:r>
      <w:r w:rsidRPr="00A260ED">
        <w:rPr>
          <w:rFonts w:ascii="Times New Roman" w:eastAsia="MS Mincho" w:hAnsi="Times New Roman"/>
        </w:rPr>
        <w:t>. Two out of 6 patients in the run-in phase and 8 out of 140 patients in the randomised phase III studies tested positive for ATA at 12 months of follow-up. Of these patients, none experienced either anaphylactic or hypersensitivity reactions that were considered related to ATA, nor was clinical response impaired.</w:t>
      </w:r>
    </w:p>
    <w:p w14:paraId="0C49C995" w14:textId="5CE44167"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No human anti-human antibodies (HAHAs) were observed after initiation of </w:t>
      </w:r>
      <w:r w:rsidR="007F720C">
        <w:rPr>
          <w:rFonts w:ascii="Times New Roman" w:eastAsia="MS Mincho" w:hAnsi="Times New Roman"/>
        </w:rPr>
        <w:t>Gazyvaro</w:t>
      </w:r>
      <w:r w:rsidRPr="00A260ED">
        <w:rPr>
          <w:rFonts w:ascii="Times New Roman" w:eastAsia="MS Mincho" w:hAnsi="Times New Roman"/>
        </w:rPr>
        <w:t xml:space="preserve"> in iNHL </w:t>
      </w:r>
      <w:proofErr w:type="gramStart"/>
      <w:r w:rsidRPr="00A260ED">
        <w:rPr>
          <w:rFonts w:ascii="Times New Roman" w:eastAsia="MS Mincho" w:hAnsi="Times New Roman"/>
        </w:rPr>
        <w:t>patients</w:t>
      </w:r>
      <w:proofErr w:type="gramEnd"/>
      <w:r w:rsidRPr="00A260ED">
        <w:rPr>
          <w:rFonts w:ascii="Times New Roman" w:eastAsia="MS Mincho" w:hAnsi="Times New Roman"/>
        </w:rPr>
        <w:t xml:space="preserve"> refractory to prior rituximab-</w:t>
      </w:r>
      <w:r w:rsidRPr="00A260ED">
        <w:rPr>
          <w:rFonts w:ascii="Times New Roman" w:hAnsi="Times New Roman"/>
        </w:rPr>
        <w:t>containing</w:t>
      </w:r>
      <w:r w:rsidRPr="00A260ED">
        <w:rPr>
          <w:rFonts w:ascii="Times New Roman" w:eastAsia="MS Mincho" w:hAnsi="Times New Roman"/>
        </w:rPr>
        <w:t xml:space="preserve"> therapy.</w:t>
      </w:r>
    </w:p>
    <w:p w14:paraId="05C70DF5" w14:textId="198F81D7" w:rsidR="00B6112F" w:rsidRPr="00A260ED" w:rsidRDefault="00B6112F">
      <w:pPr>
        <w:pStyle w:val="J1"/>
        <w:rPr>
          <w:rFonts w:ascii="Times New Roman" w:hAnsi="Times New Roman"/>
        </w:rPr>
      </w:pPr>
      <w:r w:rsidRPr="00A260ED">
        <w:rPr>
          <w:rFonts w:ascii="Times New Roman" w:hAnsi="Times New Roman"/>
        </w:rPr>
        <w:t xml:space="preserve">In previously untreated iNHL patients, 1/565 patients (0.2% of iNHL patients tested for HAHAs after initiation of </w:t>
      </w:r>
      <w:r w:rsidR="007F720C">
        <w:rPr>
          <w:rFonts w:ascii="Times New Roman" w:hAnsi="Times New Roman"/>
        </w:rPr>
        <w:t>Gazyvaro</w:t>
      </w:r>
      <w:r w:rsidRPr="00A260ED">
        <w:rPr>
          <w:rFonts w:ascii="Times New Roman" w:hAnsi="Times New Roman"/>
        </w:rPr>
        <w:t>) developed HAHAs. The clinical significance of anti-obinutuzumab antibodies is not known. A potential correlation between anti-obinutuzumab antibodies and clinical course cannot be ruled out.</w:t>
      </w:r>
    </w:p>
    <w:p w14:paraId="406F25A7" w14:textId="77777777" w:rsidR="00B6112F" w:rsidRPr="00A260ED" w:rsidRDefault="00B6112F" w:rsidP="00EB2A24">
      <w:pPr>
        <w:pStyle w:val="Heading1"/>
        <w:numPr>
          <w:ilvl w:val="0"/>
          <w:numId w:val="0"/>
        </w:numPr>
        <w:ind w:left="1134" w:hanging="1134"/>
        <w:rPr>
          <w:rFonts w:ascii="Times New Roman" w:hAnsi="Times New Roman"/>
          <w:sz w:val="22"/>
        </w:rPr>
      </w:pPr>
      <w:r w:rsidRPr="00A260ED">
        <w:rPr>
          <w:rFonts w:ascii="Times New Roman" w:hAnsi="Times New Roman"/>
          <w:sz w:val="22"/>
        </w:rPr>
        <w:t>Pharmacokinetics</w:t>
      </w:r>
    </w:p>
    <w:p w14:paraId="0304539C"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rPr>
        <w:t>All parameters shown in the sections below are estimates based on a population pharmacokinetic (PK) model.</w:t>
      </w:r>
    </w:p>
    <w:p w14:paraId="58083647" w14:textId="77777777" w:rsidR="00B6112F" w:rsidRPr="00A260ED" w:rsidRDefault="00B6112F" w:rsidP="00EB2A24">
      <w:pPr>
        <w:pStyle w:val="Heading2"/>
        <w:numPr>
          <w:ilvl w:val="0"/>
          <w:numId w:val="0"/>
        </w:numPr>
        <w:ind w:left="1134" w:hanging="1134"/>
        <w:rPr>
          <w:rFonts w:ascii="Times New Roman" w:eastAsia="MS Mincho" w:hAnsi="Times New Roman"/>
          <w:b w:val="0"/>
          <w:i/>
          <w:sz w:val="22"/>
          <w:lang w:val="en-GB"/>
        </w:rPr>
      </w:pPr>
      <w:r w:rsidRPr="00A260ED">
        <w:rPr>
          <w:rFonts w:ascii="Times New Roman" w:eastAsia="MS Mincho" w:hAnsi="Times New Roman"/>
          <w:b w:val="0"/>
          <w:sz w:val="22"/>
          <w:lang w:val="en-GB"/>
        </w:rPr>
        <w:t>Absorption</w:t>
      </w:r>
    </w:p>
    <w:p w14:paraId="4E171AE2"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rPr>
        <w:t>After the cycle 6 day 1 infusion, the median C</w:t>
      </w:r>
      <w:r w:rsidRPr="00A260ED">
        <w:rPr>
          <w:rFonts w:ascii="Times New Roman" w:eastAsia="MS Mincho" w:hAnsi="Times New Roman"/>
          <w:vertAlign w:val="subscript"/>
        </w:rPr>
        <w:t>max</w:t>
      </w:r>
      <w:r w:rsidRPr="00A260ED">
        <w:rPr>
          <w:rFonts w:ascii="Times New Roman" w:eastAsia="MS Mincho" w:hAnsi="Times New Roman"/>
        </w:rPr>
        <w:t xml:space="preserve"> value in CLL patients in the population model was 465.7</w:t>
      </w:r>
      <w:r w:rsidRPr="00A260ED">
        <w:rPr>
          <w:rFonts w:ascii="Times New Roman" w:hAnsi="Times New Roman"/>
        </w:rPr>
        <w:t xml:space="preserve"> </w:t>
      </w:r>
      <w:r w:rsidRPr="00A260ED">
        <w:rPr>
          <w:rFonts w:ascii="Times New Roman" w:eastAsia="MS Mincho" w:hAnsi="Times New Roman"/>
        </w:rPr>
        <w:t>μg/ml and the median AUC</w:t>
      </w:r>
      <w:r w:rsidRPr="00A260ED">
        <w:rPr>
          <w:rFonts w:ascii="Times New Roman" w:eastAsia="MS Mincho" w:hAnsi="Times New Roman"/>
          <w:vertAlign w:val="subscript"/>
        </w:rPr>
        <w:t>(T)</w:t>
      </w:r>
      <w:r w:rsidRPr="00A260ED">
        <w:rPr>
          <w:rFonts w:ascii="Times New Roman" w:eastAsia="MS Mincho" w:hAnsi="Times New Roman"/>
        </w:rPr>
        <w:t xml:space="preserve"> value was 8961</w:t>
      </w:r>
      <w:r w:rsidRPr="00A260ED">
        <w:rPr>
          <w:rFonts w:ascii="Times New Roman" w:hAnsi="Times New Roman"/>
        </w:rPr>
        <w:t xml:space="preserve"> </w:t>
      </w:r>
      <w:r w:rsidRPr="00A260ED">
        <w:rPr>
          <w:rFonts w:ascii="Times New Roman" w:eastAsia="MS Mincho" w:hAnsi="Times New Roman"/>
        </w:rPr>
        <w:t>μg*d/ml. In the iNHL patients, estimated median C</w:t>
      </w:r>
      <w:r w:rsidRPr="00A260ED">
        <w:rPr>
          <w:rFonts w:ascii="Times New Roman" w:eastAsia="MS Mincho" w:hAnsi="Times New Roman"/>
          <w:vertAlign w:val="subscript"/>
        </w:rPr>
        <w:t>max</w:t>
      </w:r>
      <w:r w:rsidRPr="00A260ED">
        <w:rPr>
          <w:rFonts w:ascii="Times New Roman" w:eastAsia="MS Mincho" w:hAnsi="Times New Roman"/>
        </w:rPr>
        <w:t xml:space="preserve"> was 539.3 µg/ml and median </w:t>
      </w:r>
      <w:proofErr w:type="gramStart"/>
      <w:r w:rsidRPr="00A260ED">
        <w:rPr>
          <w:rFonts w:ascii="Times New Roman" w:eastAsia="MS Mincho" w:hAnsi="Times New Roman"/>
        </w:rPr>
        <w:t>AUC</w:t>
      </w:r>
      <w:r w:rsidRPr="00A260ED">
        <w:rPr>
          <w:rFonts w:ascii="Times New Roman" w:eastAsia="MS Mincho" w:hAnsi="Times New Roman"/>
          <w:vertAlign w:val="subscript"/>
        </w:rPr>
        <w:t>(</w:t>
      </w:r>
      <w:proofErr w:type="gramEnd"/>
      <w:r w:rsidRPr="00A260ED">
        <w:rPr>
          <w:rFonts w:ascii="Times New Roman" w:eastAsia="MS Mincho" w:hAnsi="Times New Roman"/>
          <w:vertAlign w:val="subscript"/>
        </w:rPr>
        <w:t>T)</w:t>
      </w:r>
      <w:r w:rsidRPr="00A260ED">
        <w:rPr>
          <w:rFonts w:ascii="Times New Roman" w:eastAsia="MS Mincho" w:hAnsi="Times New Roman"/>
        </w:rPr>
        <w:t xml:space="preserve"> 10,956 µg*d/ml.</w:t>
      </w:r>
    </w:p>
    <w:p w14:paraId="676F3FD1" w14:textId="77777777" w:rsidR="00B6112F" w:rsidRPr="00A260ED" w:rsidRDefault="00B6112F" w:rsidP="00EB2A24">
      <w:pPr>
        <w:pStyle w:val="Heading2"/>
        <w:numPr>
          <w:ilvl w:val="0"/>
          <w:numId w:val="0"/>
        </w:numPr>
        <w:ind w:left="1134" w:hanging="1134"/>
        <w:rPr>
          <w:rFonts w:ascii="Times New Roman" w:eastAsia="MS Mincho" w:hAnsi="Times New Roman"/>
          <w:b w:val="0"/>
          <w:i/>
          <w:sz w:val="22"/>
          <w:lang w:val="en-GB"/>
        </w:rPr>
      </w:pPr>
      <w:r w:rsidRPr="00A260ED">
        <w:rPr>
          <w:rFonts w:ascii="Times New Roman" w:eastAsia="MS Mincho" w:hAnsi="Times New Roman"/>
          <w:b w:val="0"/>
          <w:sz w:val="22"/>
          <w:lang w:val="en-GB"/>
        </w:rPr>
        <w:t>Distribution</w:t>
      </w:r>
    </w:p>
    <w:p w14:paraId="31F02E76"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rPr>
        <w:t>The volume of distribution at steady state is 2.72 l.</w:t>
      </w:r>
    </w:p>
    <w:p w14:paraId="6633302B" w14:textId="77777777" w:rsidR="00B6112F" w:rsidRPr="00A260ED" w:rsidRDefault="00B6112F" w:rsidP="00EB2A24">
      <w:pPr>
        <w:pStyle w:val="Heading2"/>
        <w:numPr>
          <w:ilvl w:val="0"/>
          <w:numId w:val="0"/>
        </w:numPr>
        <w:ind w:left="1134" w:hanging="1134"/>
        <w:rPr>
          <w:rFonts w:ascii="Times New Roman" w:eastAsia="MS Mincho" w:hAnsi="Times New Roman"/>
          <w:b w:val="0"/>
          <w:i/>
          <w:sz w:val="22"/>
          <w:lang w:val="en-GB"/>
        </w:rPr>
      </w:pPr>
      <w:r w:rsidRPr="00A260ED">
        <w:rPr>
          <w:rFonts w:ascii="Times New Roman" w:eastAsia="MS Mincho" w:hAnsi="Times New Roman"/>
          <w:b w:val="0"/>
          <w:sz w:val="22"/>
          <w:lang w:val="en-GB"/>
        </w:rPr>
        <w:lastRenderedPageBreak/>
        <w:t>Metabolism</w:t>
      </w:r>
    </w:p>
    <w:p w14:paraId="54CBD084" w14:textId="6B08ADBA"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The metabolism of </w:t>
      </w:r>
      <w:r w:rsidR="007F720C">
        <w:rPr>
          <w:rFonts w:ascii="Times New Roman" w:eastAsia="MS Mincho" w:hAnsi="Times New Roman"/>
        </w:rPr>
        <w:t>Gazyvaro</w:t>
      </w:r>
      <w:r w:rsidRPr="00A260ED">
        <w:rPr>
          <w:rFonts w:ascii="Times New Roman" w:eastAsia="MS Mincho" w:hAnsi="Times New Roman"/>
        </w:rPr>
        <w:t xml:space="preserve"> has not been directly studied. Antibodies are normally broken down in the liver like other proteins.</w:t>
      </w:r>
    </w:p>
    <w:p w14:paraId="2A0B2B33" w14:textId="77777777" w:rsidR="00B6112F" w:rsidRPr="00A260ED" w:rsidRDefault="00B6112F" w:rsidP="00EB2A24">
      <w:pPr>
        <w:pStyle w:val="Heading2"/>
        <w:numPr>
          <w:ilvl w:val="0"/>
          <w:numId w:val="0"/>
        </w:numPr>
        <w:ind w:left="1134" w:hanging="1134"/>
        <w:rPr>
          <w:rFonts w:ascii="Times New Roman" w:eastAsia="MS Mincho" w:hAnsi="Times New Roman"/>
          <w:b w:val="0"/>
          <w:i/>
          <w:sz w:val="22"/>
          <w:lang w:val="en-GB"/>
        </w:rPr>
      </w:pPr>
      <w:r w:rsidRPr="00A260ED">
        <w:rPr>
          <w:rFonts w:ascii="Times New Roman" w:eastAsia="MS Mincho" w:hAnsi="Times New Roman"/>
          <w:b w:val="0"/>
          <w:sz w:val="22"/>
          <w:lang w:val="en-GB"/>
        </w:rPr>
        <w:t>Elimination</w:t>
      </w:r>
    </w:p>
    <w:p w14:paraId="098515CD" w14:textId="0AE640E0" w:rsidR="00B6112F" w:rsidRPr="00A260ED" w:rsidRDefault="007F720C" w:rsidP="00EB2A24">
      <w:pPr>
        <w:pStyle w:val="J1"/>
        <w:rPr>
          <w:rFonts w:ascii="Times New Roman" w:eastAsia="MS Mincho" w:hAnsi="Times New Roman"/>
        </w:rPr>
      </w:pPr>
      <w:r>
        <w:rPr>
          <w:rFonts w:ascii="Times New Roman" w:eastAsia="MS Mincho" w:hAnsi="Times New Roman"/>
        </w:rPr>
        <w:t>Gazyvaro</w:t>
      </w:r>
      <w:r w:rsidR="00B6112F" w:rsidRPr="00A260ED">
        <w:rPr>
          <w:rFonts w:ascii="Times New Roman" w:eastAsia="MS Mincho" w:hAnsi="Times New Roman"/>
        </w:rPr>
        <w:t xml:space="preserve"> clearance was approximately 0.11</w:t>
      </w:r>
      <w:r w:rsidR="00B6112F" w:rsidRPr="00A260ED">
        <w:rPr>
          <w:rFonts w:ascii="Times New Roman" w:hAnsi="Times New Roman"/>
        </w:rPr>
        <w:t xml:space="preserve"> </w:t>
      </w:r>
      <w:r w:rsidR="00B6112F" w:rsidRPr="00A260ED">
        <w:rPr>
          <w:rFonts w:ascii="Times New Roman" w:eastAsia="MS Mincho" w:hAnsi="Times New Roman"/>
        </w:rPr>
        <w:t>l/day in CLL patients and 0.08 l/day in iNHL patients, with a median elimination half-life of 26.4 days in CLL patients and 36.8 days in iNHL patients.</w:t>
      </w:r>
    </w:p>
    <w:p w14:paraId="51A21DE2" w14:textId="77777777" w:rsidR="00B6112F" w:rsidRPr="00A260ED" w:rsidRDefault="00B6112F" w:rsidP="00EB2A24">
      <w:pPr>
        <w:pStyle w:val="Heading2"/>
        <w:numPr>
          <w:ilvl w:val="0"/>
          <w:numId w:val="0"/>
        </w:numPr>
        <w:ind w:left="1134" w:hanging="1134"/>
        <w:rPr>
          <w:rFonts w:ascii="Times New Roman" w:eastAsia="MS Mincho" w:hAnsi="Times New Roman"/>
          <w:b w:val="0"/>
          <w:i/>
          <w:sz w:val="22"/>
          <w:lang w:val="en-GB"/>
        </w:rPr>
      </w:pPr>
      <w:r w:rsidRPr="00A260ED">
        <w:rPr>
          <w:rFonts w:ascii="Times New Roman" w:hAnsi="Times New Roman"/>
          <w:sz w:val="22"/>
        </w:rPr>
        <w:t>Kinetics</w:t>
      </w:r>
      <w:r w:rsidRPr="00A260ED">
        <w:rPr>
          <w:rFonts w:ascii="Times New Roman" w:eastAsia="MS Mincho" w:hAnsi="Times New Roman"/>
          <w:b w:val="0"/>
          <w:sz w:val="22"/>
          <w:lang w:val="en-GB"/>
        </w:rPr>
        <w:t xml:space="preserve"> in </w:t>
      </w:r>
      <w:r w:rsidRPr="00A260ED">
        <w:rPr>
          <w:rFonts w:ascii="Times New Roman" w:hAnsi="Times New Roman"/>
          <w:sz w:val="22"/>
        </w:rPr>
        <w:t>specific</w:t>
      </w:r>
      <w:r w:rsidRPr="00A260ED">
        <w:rPr>
          <w:rFonts w:ascii="Times New Roman" w:eastAsia="MS Mincho" w:hAnsi="Times New Roman"/>
          <w:b w:val="0"/>
          <w:sz w:val="22"/>
          <w:lang w:val="en-GB"/>
        </w:rPr>
        <w:t xml:space="preserve"> patient groups</w:t>
      </w:r>
    </w:p>
    <w:p w14:paraId="53613AB8"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rPr>
        <w:t>There are no significant differences in exposure between women and men. Thus no dose adjustment is required for gender.</w:t>
      </w:r>
    </w:p>
    <w:p w14:paraId="541699F5" w14:textId="77777777" w:rsidR="00B6112F" w:rsidRPr="00A260ED" w:rsidRDefault="00B6112F" w:rsidP="00EB2A24">
      <w:pPr>
        <w:pStyle w:val="Heading2"/>
        <w:numPr>
          <w:ilvl w:val="0"/>
          <w:numId w:val="0"/>
        </w:numPr>
        <w:ind w:left="1134" w:hanging="1134"/>
        <w:rPr>
          <w:rFonts w:ascii="Times New Roman" w:eastAsia="MS Mincho" w:hAnsi="Times New Roman"/>
          <w:sz w:val="22"/>
          <w:lang w:val="en-GB"/>
        </w:rPr>
      </w:pPr>
      <w:r w:rsidRPr="00A260ED">
        <w:rPr>
          <w:rFonts w:ascii="Times New Roman" w:eastAsia="MS Mincho" w:hAnsi="Times New Roman"/>
          <w:i/>
          <w:sz w:val="22"/>
          <w:lang w:val="en-GB"/>
        </w:rPr>
        <w:t>Hepatic impairment</w:t>
      </w:r>
    </w:p>
    <w:p w14:paraId="021D222D"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rPr>
        <w:t>No formal pharmacokinetic studies have been conducted in patients with hepatic impairment.</w:t>
      </w:r>
    </w:p>
    <w:p w14:paraId="32B4C77B" w14:textId="77777777" w:rsidR="00B6112F" w:rsidRPr="00A260ED" w:rsidRDefault="00B6112F" w:rsidP="00EB2A24">
      <w:pPr>
        <w:pStyle w:val="Heading2"/>
        <w:numPr>
          <w:ilvl w:val="0"/>
          <w:numId w:val="0"/>
        </w:numPr>
        <w:ind w:left="1134" w:hanging="1134"/>
        <w:rPr>
          <w:rFonts w:ascii="Times New Roman" w:eastAsia="MS Mincho" w:hAnsi="Times New Roman"/>
          <w:sz w:val="22"/>
          <w:lang w:val="en-GB"/>
        </w:rPr>
      </w:pPr>
      <w:r w:rsidRPr="00A260ED">
        <w:rPr>
          <w:rFonts w:ascii="Times New Roman" w:eastAsia="MS Mincho" w:hAnsi="Times New Roman"/>
          <w:i/>
          <w:sz w:val="22"/>
          <w:lang w:val="en-GB"/>
        </w:rPr>
        <w:t>Renal impairment</w:t>
      </w:r>
    </w:p>
    <w:p w14:paraId="5C5576D3"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rPr>
        <w:t>No formal pharmacokinetic studies have been conducted in patients with renal impairment.</w:t>
      </w:r>
    </w:p>
    <w:p w14:paraId="55BC75E3" w14:textId="77777777" w:rsidR="00B6112F" w:rsidRPr="00A260ED" w:rsidRDefault="00B6112F" w:rsidP="00EB2A24">
      <w:pPr>
        <w:pStyle w:val="Heading2"/>
        <w:numPr>
          <w:ilvl w:val="0"/>
          <w:numId w:val="0"/>
        </w:numPr>
        <w:ind w:left="1134" w:hanging="1134"/>
        <w:rPr>
          <w:rFonts w:ascii="Times New Roman" w:eastAsia="MS Mincho" w:hAnsi="Times New Roman"/>
          <w:sz w:val="22"/>
          <w:lang w:val="en-GB"/>
        </w:rPr>
      </w:pPr>
      <w:r w:rsidRPr="00A260ED">
        <w:rPr>
          <w:rFonts w:ascii="Times New Roman" w:eastAsia="MS Mincho" w:hAnsi="Times New Roman"/>
          <w:i/>
          <w:sz w:val="22"/>
          <w:lang w:val="en-GB"/>
        </w:rPr>
        <w:t>Elderly patients</w:t>
      </w:r>
    </w:p>
    <w:p w14:paraId="3A035B42" w14:textId="57BAF8ED"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The population pharmacokinetic analysis of </w:t>
      </w:r>
      <w:r w:rsidR="007F720C">
        <w:rPr>
          <w:rFonts w:ascii="Times New Roman" w:eastAsia="MS Mincho" w:hAnsi="Times New Roman"/>
        </w:rPr>
        <w:t>Gazyvaro</w:t>
      </w:r>
      <w:r w:rsidRPr="00A260ED">
        <w:rPr>
          <w:rFonts w:ascii="Times New Roman" w:eastAsia="MS Mincho" w:hAnsi="Times New Roman"/>
        </w:rPr>
        <w:t xml:space="preserve"> showed no evidence that age affects the pharmacokinetics of </w:t>
      </w:r>
      <w:r w:rsidR="007F720C">
        <w:rPr>
          <w:rFonts w:ascii="Times New Roman" w:eastAsia="MS Mincho" w:hAnsi="Times New Roman"/>
        </w:rPr>
        <w:t>Gazyvaro</w:t>
      </w:r>
      <w:r w:rsidRPr="00A260ED">
        <w:rPr>
          <w:rFonts w:ascii="Times New Roman" w:eastAsia="MS Mincho" w:hAnsi="Times New Roman"/>
        </w:rPr>
        <w:t>.</w:t>
      </w:r>
    </w:p>
    <w:p w14:paraId="2DD0CBFE" w14:textId="77777777" w:rsidR="00B6112F" w:rsidRPr="00A260ED" w:rsidRDefault="00B6112F" w:rsidP="00EB2A24">
      <w:pPr>
        <w:pStyle w:val="Heading2"/>
        <w:numPr>
          <w:ilvl w:val="0"/>
          <w:numId w:val="0"/>
        </w:numPr>
        <w:ind w:left="1134" w:hanging="1134"/>
        <w:rPr>
          <w:rFonts w:ascii="Times New Roman" w:eastAsia="MS Mincho" w:hAnsi="Times New Roman"/>
          <w:sz w:val="22"/>
          <w:lang w:val="en-GB"/>
        </w:rPr>
      </w:pPr>
      <w:r w:rsidRPr="00A260ED">
        <w:rPr>
          <w:rFonts w:ascii="Times New Roman" w:eastAsia="MS Mincho" w:hAnsi="Times New Roman"/>
          <w:i/>
          <w:sz w:val="22"/>
          <w:lang w:val="en-GB"/>
        </w:rPr>
        <w:t>Children and adolescents</w:t>
      </w:r>
    </w:p>
    <w:p w14:paraId="3E2EA105" w14:textId="1E66937D"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No studies have been conducted to investigate the pharmacokinetics of </w:t>
      </w:r>
      <w:r w:rsidR="007F720C">
        <w:rPr>
          <w:rFonts w:ascii="Times New Roman" w:eastAsia="MS Mincho" w:hAnsi="Times New Roman"/>
        </w:rPr>
        <w:t>Gazyvaro</w:t>
      </w:r>
      <w:r w:rsidRPr="00A260ED">
        <w:rPr>
          <w:rFonts w:ascii="Times New Roman" w:eastAsia="MS Mincho" w:hAnsi="Times New Roman"/>
        </w:rPr>
        <w:t xml:space="preserve"> in children.</w:t>
      </w:r>
    </w:p>
    <w:p w14:paraId="1DE41D2D" w14:textId="77777777" w:rsidR="00B6112F" w:rsidRPr="00A260ED" w:rsidRDefault="00B6112F" w:rsidP="00EB2A24">
      <w:pPr>
        <w:pStyle w:val="Heading1"/>
        <w:numPr>
          <w:ilvl w:val="0"/>
          <w:numId w:val="0"/>
        </w:numPr>
        <w:ind w:left="1134" w:hanging="1134"/>
        <w:rPr>
          <w:rFonts w:ascii="Times New Roman" w:hAnsi="Times New Roman"/>
          <w:sz w:val="22"/>
        </w:rPr>
      </w:pPr>
      <w:r w:rsidRPr="00A260ED">
        <w:rPr>
          <w:rFonts w:ascii="Times New Roman" w:hAnsi="Times New Roman"/>
          <w:sz w:val="22"/>
        </w:rPr>
        <w:t>Preclinical data</w:t>
      </w:r>
    </w:p>
    <w:p w14:paraId="53401173" w14:textId="77777777" w:rsidR="00B6112F" w:rsidRPr="00A260ED" w:rsidRDefault="00B6112F" w:rsidP="00EB2A24">
      <w:pPr>
        <w:pStyle w:val="Heading2"/>
        <w:numPr>
          <w:ilvl w:val="0"/>
          <w:numId w:val="0"/>
        </w:numPr>
        <w:ind w:left="1134" w:hanging="1134"/>
        <w:rPr>
          <w:rFonts w:ascii="Times New Roman" w:eastAsia="MS Mincho" w:hAnsi="Times New Roman"/>
          <w:b w:val="0"/>
          <w:i/>
          <w:sz w:val="22"/>
          <w:lang w:val="en-GB"/>
        </w:rPr>
      </w:pPr>
      <w:r w:rsidRPr="00A260ED">
        <w:rPr>
          <w:rFonts w:ascii="Times New Roman" w:eastAsia="MS Mincho" w:hAnsi="Times New Roman"/>
          <w:b w:val="0"/>
          <w:sz w:val="22"/>
          <w:lang w:val="en-GB"/>
        </w:rPr>
        <w:t>Carcinogenicity</w:t>
      </w:r>
    </w:p>
    <w:p w14:paraId="5BEA5B44" w14:textId="68513C5D"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No carcinogenicity studies have been performed to establish the carcinogenic potential of </w:t>
      </w:r>
      <w:r w:rsidR="007F720C">
        <w:rPr>
          <w:rFonts w:ascii="Times New Roman" w:eastAsia="MS Mincho" w:hAnsi="Times New Roman"/>
        </w:rPr>
        <w:t>Gazyvaro</w:t>
      </w:r>
      <w:r w:rsidRPr="00A260ED">
        <w:rPr>
          <w:rFonts w:ascii="Times New Roman" w:eastAsia="MS Mincho" w:hAnsi="Times New Roman"/>
        </w:rPr>
        <w:t>.</w:t>
      </w:r>
    </w:p>
    <w:p w14:paraId="48BC2E86" w14:textId="77777777" w:rsidR="00B6112F" w:rsidRPr="00A260ED" w:rsidRDefault="00B6112F" w:rsidP="00EB2A24">
      <w:pPr>
        <w:pStyle w:val="Heading2"/>
        <w:numPr>
          <w:ilvl w:val="0"/>
          <w:numId w:val="0"/>
        </w:numPr>
        <w:ind w:left="1134" w:hanging="1134"/>
        <w:rPr>
          <w:rFonts w:ascii="Times New Roman" w:eastAsia="MS Mincho" w:hAnsi="Times New Roman"/>
          <w:b w:val="0"/>
          <w:i/>
          <w:sz w:val="22"/>
          <w:lang w:val="en-GB"/>
        </w:rPr>
      </w:pPr>
      <w:r w:rsidRPr="00A260ED">
        <w:rPr>
          <w:rFonts w:ascii="Times New Roman" w:eastAsia="MS Mincho" w:hAnsi="Times New Roman"/>
          <w:b w:val="0"/>
          <w:sz w:val="22"/>
          <w:lang w:val="en-GB"/>
        </w:rPr>
        <w:t>Genotoxicity</w:t>
      </w:r>
    </w:p>
    <w:p w14:paraId="765196F4" w14:textId="171C9B02"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No studies have been performed to establish the genotoxic potential of </w:t>
      </w:r>
      <w:r w:rsidR="007F720C">
        <w:rPr>
          <w:rFonts w:ascii="Times New Roman" w:eastAsia="MS Mincho" w:hAnsi="Times New Roman"/>
        </w:rPr>
        <w:t>Gazyvaro</w:t>
      </w:r>
      <w:r w:rsidRPr="00A260ED">
        <w:rPr>
          <w:rFonts w:ascii="Times New Roman" w:eastAsia="MS Mincho" w:hAnsi="Times New Roman"/>
        </w:rPr>
        <w:t>.</w:t>
      </w:r>
    </w:p>
    <w:p w14:paraId="33190B66" w14:textId="77777777" w:rsidR="00B6112F" w:rsidRPr="00A260ED" w:rsidRDefault="00B6112F" w:rsidP="00EB2A24">
      <w:pPr>
        <w:pStyle w:val="Heading2"/>
        <w:numPr>
          <w:ilvl w:val="0"/>
          <w:numId w:val="0"/>
        </w:numPr>
        <w:ind w:left="1134" w:hanging="1134"/>
        <w:rPr>
          <w:rFonts w:ascii="Times New Roman" w:eastAsia="MS Mincho" w:hAnsi="Times New Roman"/>
          <w:b w:val="0"/>
          <w:i/>
          <w:sz w:val="22"/>
          <w:lang w:val="en-GB"/>
        </w:rPr>
      </w:pPr>
      <w:r w:rsidRPr="00A260ED">
        <w:rPr>
          <w:rFonts w:ascii="Times New Roman" w:eastAsia="MS Mincho" w:hAnsi="Times New Roman"/>
          <w:b w:val="0"/>
          <w:sz w:val="22"/>
          <w:lang w:val="en-GB"/>
        </w:rPr>
        <w:t>Impairment of fertility</w:t>
      </w:r>
    </w:p>
    <w:p w14:paraId="62D70C2A" w14:textId="4952C5CA"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No specific studies in animals have been performed to evaluate the effect of </w:t>
      </w:r>
      <w:r w:rsidR="007F720C">
        <w:rPr>
          <w:rFonts w:ascii="Times New Roman" w:eastAsia="MS Mincho" w:hAnsi="Times New Roman"/>
        </w:rPr>
        <w:t>Gazyvaro</w:t>
      </w:r>
      <w:r w:rsidRPr="00A260ED">
        <w:rPr>
          <w:rFonts w:ascii="Times New Roman" w:eastAsia="MS Mincho" w:hAnsi="Times New Roman"/>
        </w:rPr>
        <w:t xml:space="preserve"> on fertility. No adverse effects on male and female reproductive organs were observed in repeated-dose toxicity studies in cynomolgus monkeys.</w:t>
      </w:r>
    </w:p>
    <w:p w14:paraId="6EFA855D" w14:textId="77777777" w:rsidR="00B6112F" w:rsidRPr="00A260ED" w:rsidRDefault="00B6112F" w:rsidP="00EB2A24">
      <w:pPr>
        <w:pStyle w:val="Heading2"/>
        <w:numPr>
          <w:ilvl w:val="0"/>
          <w:numId w:val="0"/>
        </w:numPr>
        <w:ind w:left="1134" w:hanging="1134"/>
        <w:rPr>
          <w:rFonts w:ascii="Times New Roman" w:eastAsia="MS Mincho" w:hAnsi="Times New Roman"/>
          <w:b w:val="0"/>
          <w:i/>
          <w:sz w:val="22"/>
          <w:lang w:val="en-GB"/>
        </w:rPr>
      </w:pPr>
      <w:r w:rsidRPr="00A260ED">
        <w:rPr>
          <w:rFonts w:ascii="Times New Roman" w:eastAsia="MS Mincho" w:hAnsi="Times New Roman"/>
          <w:b w:val="0"/>
          <w:sz w:val="22"/>
          <w:lang w:val="en-GB"/>
        </w:rPr>
        <w:t>Reproductive toxicity</w:t>
      </w:r>
    </w:p>
    <w:p w14:paraId="1BDB4663" w14:textId="2BA4E2ED"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An enhanced pre- and postnatal development (ePPND) toxicity study was performed on pregnant cynomolgus monkeys. Pregnant animals received weekly intravenous </w:t>
      </w:r>
      <w:r w:rsidR="007F720C">
        <w:rPr>
          <w:rFonts w:ascii="Times New Roman" w:eastAsia="MS Mincho" w:hAnsi="Times New Roman"/>
        </w:rPr>
        <w:t>Gazyvaro</w:t>
      </w:r>
      <w:r w:rsidRPr="00A260ED">
        <w:rPr>
          <w:rFonts w:ascii="Times New Roman" w:eastAsia="MS Mincho" w:hAnsi="Times New Roman"/>
        </w:rPr>
        <w:t xml:space="preserve"> doses (mean AUC</w:t>
      </w:r>
      <w:r w:rsidRPr="00A260ED">
        <w:rPr>
          <w:rFonts w:ascii="Times New Roman" w:eastAsia="MS Mincho" w:hAnsi="Times New Roman"/>
          <w:vertAlign w:val="subscript"/>
        </w:rPr>
        <w:t>0</w:t>
      </w:r>
      <w:r w:rsidRPr="00A260ED">
        <w:rPr>
          <w:rFonts w:ascii="Times New Roman" w:hAnsi="Times New Roman"/>
          <w:vertAlign w:val="subscript"/>
        </w:rPr>
        <w:noBreakHyphen/>
      </w:r>
      <w:r w:rsidRPr="00A260ED">
        <w:rPr>
          <w:rFonts w:ascii="Times New Roman" w:eastAsia="MS Mincho" w:hAnsi="Times New Roman"/>
          <w:vertAlign w:val="subscript"/>
        </w:rPr>
        <w:t>168 h</w:t>
      </w:r>
      <w:r w:rsidRPr="00A260ED">
        <w:rPr>
          <w:rFonts w:ascii="Times New Roman" w:eastAsia="MS Mincho" w:hAnsi="Times New Roman"/>
        </w:rPr>
        <w:t xml:space="preserve"> at steady state [on day 139 p.c.] was 125,000 and 250,000</w:t>
      </w:r>
      <w:r w:rsidRPr="00A260ED">
        <w:rPr>
          <w:rFonts w:ascii="Times New Roman" w:hAnsi="Times New Roman"/>
        </w:rPr>
        <w:t xml:space="preserve"> </w:t>
      </w:r>
      <w:r w:rsidRPr="00A260ED">
        <w:rPr>
          <w:rFonts w:ascii="Times New Roman" w:eastAsia="MS Mincho" w:hAnsi="Times New Roman"/>
        </w:rPr>
        <w:t>[µg</w:t>
      </w:r>
      <w:r w:rsidRPr="00A260ED">
        <w:rPr>
          <w:rFonts w:ascii="Times New Roman" w:hAnsi="Times New Roman"/>
        </w:rPr>
        <w:t>•</w:t>
      </w:r>
      <w:r w:rsidRPr="00A260ED">
        <w:rPr>
          <w:rFonts w:ascii="Times New Roman" w:eastAsia="MS Mincho" w:hAnsi="Times New Roman"/>
        </w:rPr>
        <w:t>h]/ml at 25 and 50</w:t>
      </w:r>
      <w:r w:rsidRPr="00A260ED">
        <w:rPr>
          <w:rFonts w:ascii="Times New Roman" w:hAnsi="Times New Roman"/>
        </w:rPr>
        <w:t xml:space="preserve"> </w:t>
      </w:r>
      <w:r w:rsidRPr="00A260ED">
        <w:rPr>
          <w:rFonts w:ascii="Times New Roman" w:eastAsia="MS Mincho" w:hAnsi="Times New Roman"/>
        </w:rPr>
        <w:t>mg/kg, respectively; mean C</w:t>
      </w:r>
      <w:r w:rsidRPr="00A260ED">
        <w:rPr>
          <w:rFonts w:ascii="Times New Roman" w:eastAsia="MS Mincho" w:hAnsi="Times New Roman"/>
          <w:vertAlign w:val="subscript"/>
        </w:rPr>
        <w:t>max</w:t>
      </w:r>
      <w:r w:rsidRPr="00A260ED">
        <w:rPr>
          <w:rFonts w:ascii="Times New Roman" w:eastAsia="MS Mincho" w:hAnsi="Times New Roman"/>
        </w:rPr>
        <w:t xml:space="preserve"> was 1220 and 2470</w:t>
      </w:r>
      <w:r w:rsidRPr="00A260ED">
        <w:rPr>
          <w:rFonts w:ascii="Times New Roman" w:hAnsi="Times New Roman"/>
        </w:rPr>
        <w:t xml:space="preserve"> </w:t>
      </w:r>
      <w:r w:rsidRPr="00A260ED">
        <w:rPr>
          <w:rFonts w:ascii="Times New Roman" w:eastAsia="MS Mincho" w:hAnsi="Times New Roman"/>
        </w:rPr>
        <w:t>µg/ml at 25 and 50</w:t>
      </w:r>
      <w:r w:rsidRPr="00A260ED">
        <w:rPr>
          <w:rFonts w:ascii="Times New Roman" w:hAnsi="Times New Roman"/>
        </w:rPr>
        <w:t xml:space="preserve"> </w:t>
      </w:r>
      <w:r w:rsidRPr="00A260ED">
        <w:rPr>
          <w:rFonts w:ascii="Times New Roman" w:eastAsia="MS Mincho" w:hAnsi="Times New Roman"/>
        </w:rPr>
        <w:t>mg/kg, respectively) during gestation (organogenesis period; post-conception day 20 until delivery). Exposed offspring did not exhibit any teratogenic effects but B</w:t>
      </w:r>
      <w:r w:rsidRPr="00A260ED">
        <w:rPr>
          <w:rFonts w:ascii="Times New Roman" w:hAnsi="Times New Roman"/>
        </w:rPr>
        <w:t> </w:t>
      </w:r>
      <w:r w:rsidRPr="00A260ED">
        <w:rPr>
          <w:rFonts w:ascii="Times New Roman" w:eastAsia="MS Mincho" w:hAnsi="Times New Roman"/>
        </w:rPr>
        <w:t xml:space="preserve">cells were completely depleted on day 28 postpartum. Offspring exposures on day 28 postpartum suggest that </w:t>
      </w:r>
      <w:r w:rsidR="007F720C">
        <w:rPr>
          <w:rFonts w:ascii="Times New Roman" w:eastAsia="MS Mincho" w:hAnsi="Times New Roman"/>
        </w:rPr>
        <w:t>Gazyvaro</w:t>
      </w:r>
      <w:r w:rsidRPr="00A260ED">
        <w:rPr>
          <w:rFonts w:ascii="Times New Roman" w:eastAsia="MS Mincho" w:hAnsi="Times New Roman"/>
        </w:rPr>
        <w:t xml:space="preserve"> can cross the blood-placenta</w:t>
      </w:r>
      <w:r w:rsidRPr="00A260ED">
        <w:rPr>
          <w:rFonts w:ascii="Times New Roman" w:hAnsi="Times New Roman"/>
        </w:rPr>
        <w:t>-</w:t>
      </w:r>
      <w:r w:rsidRPr="00A260ED">
        <w:rPr>
          <w:rFonts w:ascii="Times New Roman" w:eastAsia="MS Mincho" w:hAnsi="Times New Roman"/>
        </w:rPr>
        <w:t xml:space="preserve">barrier. Serum concentrations in the newborn on day 28 postpartum were in the range of concentrations in maternal serum, whereas concentrations in milk on the same day were very low (less than 0.5% of the corresponding maternal serum levels), suggesting that exposure of the newborn must have occurred </w:t>
      </w:r>
      <w:r w:rsidRPr="00A260ED">
        <w:rPr>
          <w:rFonts w:ascii="Times New Roman" w:eastAsia="MS Mincho" w:hAnsi="Times New Roman"/>
          <w:i/>
        </w:rPr>
        <w:t>in utero</w:t>
      </w:r>
      <w:r w:rsidRPr="00A260ED">
        <w:rPr>
          <w:rFonts w:ascii="Times New Roman" w:eastAsia="MS Mincho" w:hAnsi="Times New Roman"/>
        </w:rPr>
        <w:t>. B</w:t>
      </w:r>
      <w:r w:rsidRPr="00A260ED">
        <w:rPr>
          <w:rFonts w:ascii="Times New Roman" w:hAnsi="Times New Roman"/>
        </w:rPr>
        <w:t> </w:t>
      </w:r>
      <w:r w:rsidRPr="00A260ED">
        <w:rPr>
          <w:rFonts w:ascii="Times New Roman" w:eastAsia="MS Mincho" w:hAnsi="Times New Roman"/>
        </w:rPr>
        <w:t>cell counts returned to normal levels and immunological function was restored within 6</w:t>
      </w:r>
      <w:r w:rsidRPr="00A260ED">
        <w:rPr>
          <w:rFonts w:ascii="Times New Roman" w:hAnsi="Times New Roman"/>
        </w:rPr>
        <w:t> </w:t>
      </w:r>
      <w:r w:rsidRPr="00A260ED">
        <w:rPr>
          <w:rFonts w:ascii="Times New Roman" w:eastAsia="MS Mincho" w:hAnsi="Times New Roman"/>
        </w:rPr>
        <w:t>months of birth.</w:t>
      </w:r>
    </w:p>
    <w:p w14:paraId="4627F258" w14:textId="77777777" w:rsidR="00B6112F" w:rsidRPr="00A260ED" w:rsidRDefault="00B6112F" w:rsidP="00EB2A24">
      <w:pPr>
        <w:pStyle w:val="Heading2"/>
        <w:numPr>
          <w:ilvl w:val="0"/>
          <w:numId w:val="0"/>
        </w:numPr>
        <w:ind w:left="1134" w:hanging="1134"/>
        <w:rPr>
          <w:rFonts w:ascii="Times New Roman" w:eastAsia="MS Mincho" w:hAnsi="Times New Roman"/>
          <w:b w:val="0"/>
          <w:i/>
          <w:sz w:val="22"/>
          <w:lang w:val="en-GB"/>
        </w:rPr>
      </w:pPr>
      <w:r w:rsidRPr="00A260ED">
        <w:rPr>
          <w:rFonts w:ascii="Times New Roman" w:eastAsia="MS Mincho" w:hAnsi="Times New Roman"/>
          <w:b w:val="0"/>
          <w:sz w:val="22"/>
          <w:lang w:val="en-GB"/>
        </w:rPr>
        <w:lastRenderedPageBreak/>
        <w:t>Other</w:t>
      </w:r>
    </w:p>
    <w:p w14:paraId="05890485" w14:textId="4104BE7F" w:rsidR="00B6112F" w:rsidRPr="00A260ED" w:rsidRDefault="00B6112F" w:rsidP="00EB2A24">
      <w:pPr>
        <w:pStyle w:val="J1"/>
        <w:rPr>
          <w:rFonts w:ascii="Times New Roman" w:eastAsia="MS Mincho" w:hAnsi="Times New Roman"/>
        </w:rPr>
      </w:pPr>
      <w:r w:rsidRPr="00A260ED">
        <w:rPr>
          <w:rFonts w:ascii="Times New Roman" w:eastAsia="MS Mincho" w:hAnsi="Times New Roman"/>
        </w:rPr>
        <w:t>In a 26-week cynomolgus monkey study, hypersensitivity reactions were noted and attributed to recognition of the humanised antibody as foreign by cynomolgus monkeys (C</w:t>
      </w:r>
      <w:r w:rsidRPr="00A260ED">
        <w:rPr>
          <w:rFonts w:ascii="Times New Roman" w:eastAsia="MS Mincho" w:hAnsi="Times New Roman"/>
          <w:vertAlign w:val="subscript"/>
        </w:rPr>
        <w:t>max</w:t>
      </w:r>
      <w:r w:rsidRPr="00A260ED">
        <w:rPr>
          <w:rFonts w:ascii="Times New Roman" w:eastAsia="MS Mincho" w:hAnsi="Times New Roman"/>
        </w:rPr>
        <w:t xml:space="preserve"> and AUC</w:t>
      </w:r>
      <w:r w:rsidRPr="00A260ED">
        <w:rPr>
          <w:rFonts w:ascii="Times New Roman" w:eastAsia="MS Mincho" w:hAnsi="Times New Roman"/>
          <w:vertAlign w:val="subscript"/>
        </w:rPr>
        <w:t>0</w:t>
      </w:r>
      <w:r w:rsidRPr="00A260ED">
        <w:rPr>
          <w:rFonts w:ascii="Times New Roman" w:hAnsi="Times New Roman"/>
          <w:vertAlign w:val="subscript"/>
        </w:rPr>
        <w:noBreakHyphen/>
      </w:r>
      <w:r w:rsidRPr="00A260ED">
        <w:rPr>
          <w:rFonts w:ascii="Times New Roman" w:eastAsia="MS Mincho" w:hAnsi="Times New Roman"/>
          <w:vertAlign w:val="subscript"/>
        </w:rPr>
        <w:t>168</w:t>
      </w:r>
      <w:r w:rsidRPr="00A260ED">
        <w:rPr>
          <w:rFonts w:ascii="Times New Roman" w:hAnsi="Times New Roman"/>
          <w:vertAlign w:val="subscript"/>
        </w:rPr>
        <w:t> </w:t>
      </w:r>
      <w:r w:rsidRPr="00A260ED">
        <w:rPr>
          <w:rFonts w:ascii="Times New Roman" w:eastAsia="MS Mincho" w:hAnsi="Times New Roman"/>
          <w:vertAlign w:val="subscript"/>
        </w:rPr>
        <w:t>h</w:t>
      </w:r>
      <w:r w:rsidRPr="00A260ED">
        <w:rPr>
          <w:rFonts w:ascii="Times New Roman" w:eastAsia="MS Mincho" w:hAnsi="Times New Roman"/>
        </w:rPr>
        <w:t xml:space="preserve"> at steady state [day 176] after weekly administration of 5, 25 and 50 mg/kg were 377, 1530 and 2920</w:t>
      </w:r>
      <w:r w:rsidRPr="00A260ED">
        <w:rPr>
          <w:rFonts w:ascii="Times New Roman" w:hAnsi="Times New Roman"/>
        </w:rPr>
        <w:t xml:space="preserve"> </w:t>
      </w:r>
      <w:r w:rsidRPr="00A260ED">
        <w:rPr>
          <w:rFonts w:ascii="Times New Roman" w:eastAsia="MS Mincho" w:hAnsi="Times New Roman"/>
        </w:rPr>
        <w:t>µg/ml and 39,800, 183,000 and 344,000</w:t>
      </w:r>
      <w:r w:rsidRPr="00A260ED">
        <w:rPr>
          <w:rFonts w:ascii="Times New Roman" w:hAnsi="Times New Roman"/>
        </w:rPr>
        <w:t xml:space="preserve"> </w:t>
      </w:r>
      <w:r w:rsidRPr="00A260ED">
        <w:rPr>
          <w:rFonts w:ascii="Times New Roman" w:eastAsia="MS Mincho" w:hAnsi="Times New Roman"/>
        </w:rPr>
        <w:t>[µg</w:t>
      </w:r>
      <w:r w:rsidRPr="00A260ED">
        <w:rPr>
          <w:rFonts w:ascii="Times New Roman" w:hAnsi="Times New Roman"/>
        </w:rPr>
        <w:t>•</w:t>
      </w:r>
      <w:r w:rsidRPr="00A260ED">
        <w:rPr>
          <w:rFonts w:ascii="Times New Roman" w:eastAsia="MS Mincho" w:hAnsi="Times New Roman"/>
        </w:rPr>
        <w:t xml:space="preserve">h]/ml, respectively). Findings included acute anaphylactic or anaphylactoid reactions and an increased prevalence of systemic inflammation and infiltrates consistent with immune complex-mediated hypersensitivity reactions, such as arteritis/periarteritis, </w:t>
      </w:r>
      <w:r w:rsidRPr="00A260ED">
        <w:rPr>
          <w:rFonts w:ascii="Times New Roman" w:hAnsi="Times New Roman"/>
        </w:rPr>
        <w:t>glomerulo</w:t>
      </w:r>
      <w:r w:rsidRPr="00A260ED">
        <w:rPr>
          <w:rFonts w:ascii="Times New Roman" w:hAnsi="Times New Roman"/>
        </w:rPr>
        <w:softHyphen/>
        <w:t>nephritis</w:t>
      </w:r>
      <w:r w:rsidRPr="00A260ED">
        <w:rPr>
          <w:rFonts w:ascii="Times New Roman" w:eastAsia="MS Mincho" w:hAnsi="Times New Roman"/>
        </w:rPr>
        <w:t xml:space="preserve"> and serosal/adventitial inflammation. These reactions led to unscheduled euthanasia in 6/36 animals treated with </w:t>
      </w:r>
      <w:r w:rsidR="007F720C">
        <w:rPr>
          <w:rFonts w:ascii="Times New Roman" w:eastAsia="MS Mincho" w:hAnsi="Times New Roman"/>
        </w:rPr>
        <w:t>Gazyvaro</w:t>
      </w:r>
      <w:r w:rsidRPr="00A260ED">
        <w:rPr>
          <w:rFonts w:ascii="Times New Roman" w:eastAsia="MS Mincho" w:hAnsi="Times New Roman"/>
        </w:rPr>
        <w:t xml:space="preserve"> during dosing and recovery phases; these changes were partially reversible. Opportunistic infections were attributed to the pharmacological action of </w:t>
      </w:r>
      <w:r w:rsidR="007F720C">
        <w:rPr>
          <w:rFonts w:ascii="Times New Roman" w:eastAsia="MS Mincho" w:hAnsi="Times New Roman"/>
        </w:rPr>
        <w:t>Gazyvaro</w:t>
      </w:r>
      <w:r w:rsidRPr="00A260ED">
        <w:rPr>
          <w:rFonts w:ascii="Times New Roman" w:eastAsia="MS Mincho" w:hAnsi="Times New Roman"/>
        </w:rPr>
        <w:t>.</w:t>
      </w:r>
    </w:p>
    <w:p w14:paraId="747F2107" w14:textId="77777777" w:rsidR="00B6112F" w:rsidRPr="00A260ED" w:rsidRDefault="00B6112F" w:rsidP="00EB2A24">
      <w:pPr>
        <w:pStyle w:val="Heading1"/>
        <w:numPr>
          <w:ilvl w:val="0"/>
          <w:numId w:val="0"/>
        </w:numPr>
        <w:ind w:left="1134" w:hanging="1134"/>
        <w:rPr>
          <w:rFonts w:ascii="Times New Roman" w:eastAsia="MS Mincho" w:hAnsi="Times New Roman"/>
          <w:b w:val="0"/>
          <w:sz w:val="22"/>
          <w:lang w:val="en-GB"/>
        </w:rPr>
      </w:pPr>
      <w:r w:rsidRPr="00A260ED">
        <w:rPr>
          <w:rFonts w:ascii="Times New Roman" w:hAnsi="Times New Roman"/>
          <w:sz w:val="22"/>
        </w:rPr>
        <w:t>Other</w:t>
      </w:r>
      <w:r w:rsidRPr="00A260ED">
        <w:rPr>
          <w:rFonts w:ascii="Times New Roman" w:eastAsia="MS Mincho" w:hAnsi="Times New Roman"/>
          <w:sz w:val="22"/>
          <w:lang w:val="en-GB"/>
        </w:rPr>
        <w:t xml:space="preserve"> information</w:t>
      </w:r>
    </w:p>
    <w:p w14:paraId="4C230B05" w14:textId="77777777" w:rsidR="00B6112F" w:rsidRPr="00A260ED" w:rsidRDefault="00B6112F" w:rsidP="00EB2A24">
      <w:pPr>
        <w:pStyle w:val="Heading2"/>
        <w:numPr>
          <w:ilvl w:val="0"/>
          <w:numId w:val="0"/>
        </w:numPr>
        <w:ind w:left="1134" w:hanging="1134"/>
        <w:rPr>
          <w:rFonts w:ascii="Times New Roman" w:eastAsia="MS Mincho" w:hAnsi="Times New Roman"/>
          <w:b w:val="0"/>
          <w:i/>
          <w:sz w:val="22"/>
          <w:lang w:val="en-GB"/>
        </w:rPr>
      </w:pPr>
      <w:r w:rsidRPr="00A260ED">
        <w:rPr>
          <w:rFonts w:ascii="Times New Roman" w:eastAsia="MS Mincho" w:hAnsi="Times New Roman"/>
          <w:b w:val="0"/>
          <w:sz w:val="22"/>
          <w:lang w:val="en-GB"/>
        </w:rPr>
        <w:t>Incompatibilities</w:t>
      </w:r>
    </w:p>
    <w:p w14:paraId="776A93DB" w14:textId="7E158B8B"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After dilution with 0.9% sodium chloride, no incompatibilities were observed between </w:t>
      </w:r>
      <w:r w:rsidR="007F720C">
        <w:rPr>
          <w:rFonts w:ascii="Times New Roman" w:eastAsia="MS Mincho" w:hAnsi="Times New Roman"/>
        </w:rPr>
        <w:t>Gazyvaro</w:t>
      </w:r>
      <w:r w:rsidRPr="00A260ED">
        <w:rPr>
          <w:rFonts w:ascii="Times New Roman" w:eastAsia="MS Mincho" w:hAnsi="Times New Roman"/>
        </w:rPr>
        <w:t xml:space="preserve"> in the concentration range 0.4</w:t>
      </w:r>
      <w:r w:rsidRPr="00A260ED">
        <w:rPr>
          <w:rFonts w:ascii="Times New Roman" w:hAnsi="Times New Roman"/>
        </w:rPr>
        <w:t xml:space="preserve"> </w:t>
      </w:r>
      <w:r w:rsidRPr="00A260ED">
        <w:rPr>
          <w:rFonts w:ascii="Times New Roman" w:eastAsia="MS Mincho" w:hAnsi="Times New Roman"/>
        </w:rPr>
        <w:t>mg/ml to 20.0</w:t>
      </w:r>
      <w:r w:rsidRPr="00A260ED">
        <w:rPr>
          <w:rFonts w:ascii="Times New Roman" w:hAnsi="Times New Roman"/>
        </w:rPr>
        <w:t xml:space="preserve"> </w:t>
      </w:r>
      <w:r w:rsidRPr="00A260ED">
        <w:rPr>
          <w:rFonts w:ascii="Times New Roman" w:eastAsia="MS Mincho" w:hAnsi="Times New Roman"/>
        </w:rPr>
        <w:t>mg/ml and polyvinyl chloride/</w:t>
      </w:r>
      <w:r w:rsidRPr="00A260ED">
        <w:rPr>
          <w:rFonts w:ascii="Times New Roman" w:hAnsi="Times New Roman"/>
        </w:rPr>
        <w:t>poly</w:t>
      </w:r>
      <w:r w:rsidRPr="00A260ED">
        <w:rPr>
          <w:rFonts w:ascii="Times New Roman" w:hAnsi="Times New Roman"/>
        </w:rPr>
        <w:softHyphen/>
        <w:t>ethylene</w:t>
      </w:r>
      <w:r w:rsidRPr="00A260ED">
        <w:rPr>
          <w:rFonts w:ascii="Times New Roman" w:eastAsia="MS Mincho" w:hAnsi="Times New Roman"/>
        </w:rPr>
        <w:t>/polypropylene/polyolefin infusion bags or polyvinyl chloride (PVC)/polyurethane (PUR)/polyethylene (PE) infusion sets, nor with optional inline filters with product contact surfaces of polyethersulfone (PES), a 3-way polycarbonate (PC) stopcock or polyetherurethane (PEU) catheters. Do not shake or freeze the diluted product.</w:t>
      </w:r>
    </w:p>
    <w:p w14:paraId="4EB73EFB" w14:textId="1744CDD9"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Diluents other than 0.9% NaCl solution should not be used to dilute </w:t>
      </w:r>
      <w:r w:rsidR="007F720C">
        <w:rPr>
          <w:rFonts w:ascii="Times New Roman" w:eastAsia="MS Mincho" w:hAnsi="Times New Roman"/>
        </w:rPr>
        <w:t>Gazyvaro</w:t>
      </w:r>
      <w:r w:rsidRPr="00A260ED">
        <w:rPr>
          <w:rFonts w:ascii="Times New Roman" w:eastAsia="MS Mincho" w:hAnsi="Times New Roman"/>
        </w:rPr>
        <w:t xml:space="preserve"> since their use has not been studied.</w:t>
      </w:r>
    </w:p>
    <w:p w14:paraId="66F7F7ED" w14:textId="77777777" w:rsidR="00B6112F" w:rsidRPr="00A260ED" w:rsidRDefault="00B6112F" w:rsidP="00CC0160">
      <w:pPr>
        <w:pStyle w:val="Heading2"/>
        <w:numPr>
          <w:ilvl w:val="0"/>
          <w:numId w:val="0"/>
        </w:numPr>
        <w:ind w:left="1134" w:hanging="1134"/>
        <w:rPr>
          <w:rFonts w:ascii="Times New Roman" w:hAnsi="Times New Roman"/>
          <w:sz w:val="22"/>
        </w:rPr>
      </w:pPr>
      <w:r w:rsidRPr="00A260ED">
        <w:rPr>
          <w:rFonts w:ascii="Times New Roman" w:hAnsi="Times New Roman"/>
          <w:sz w:val="22"/>
        </w:rPr>
        <w:t>Shelf life</w:t>
      </w:r>
    </w:p>
    <w:p w14:paraId="51EF29A5" w14:textId="77777777" w:rsidR="00B6112F" w:rsidRPr="00A260ED" w:rsidRDefault="00B6112F" w:rsidP="00EB2A24">
      <w:pPr>
        <w:pStyle w:val="J1"/>
        <w:rPr>
          <w:rFonts w:ascii="Times New Roman" w:eastAsia="MS Mincho" w:hAnsi="Times New Roman"/>
        </w:rPr>
      </w:pPr>
      <w:r w:rsidRPr="00A260ED">
        <w:rPr>
          <w:rFonts w:ascii="Times New Roman" w:hAnsi="Times New Roman"/>
        </w:rPr>
        <w:t>Do</w:t>
      </w:r>
      <w:r w:rsidRPr="00A260ED">
        <w:rPr>
          <w:rFonts w:ascii="Times New Roman" w:eastAsia="MS Mincho" w:hAnsi="Times New Roman"/>
        </w:rPr>
        <w:t xml:space="preserve"> not </w:t>
      </w:r>
      <w:r w:rsidRPr="00A260ED">
        <w:rPr>
          <w:rFonts w:ascii="Times New Roman" w:hAnsi="Times New Roman"/>
        </w:rPr>
        <w:t>use this medicine</w:t>
      </w:r>
      <w:r w:rsidRPr="00A260ED">
        <w:rPr>
          <w:rFonts w:ascii="Times New Roman" w:eastAsia="MS Mincho" w:hAnsi="Times New Roman"/>
        </w:rPr>
        <w:t xml:space="preserve"> after the expiry date </w:t>
      </w:r>
      <w:r w:rsidRPr="00A260ED">
        <w:rPr>
          <w:rFonts w:ascii="Times New Roman" w:hAnsi="Times New Roman"/>
        </w:rPr>
        <w:t>(“</w:t>
      </w:r>
      <w:r w:rsidRPr="00A260ED">
        <w:rPr>
          <w:rFonts w:ascii="Times New Roman" w:eastAsia="MS Mincho" w:hAnsi="Times New Roman"/>
        </w:rPr>
        <w:t>EXP</w:t>
      </w:r>
      <w:r w:rsidRPr="00A260ED">
        <w:rPr>
          <w:rFonts w:ascii="Times New Roman" w:hAnsi="Times New Roman"/>
        </w:rPr>
        <w:t>”) stated</w:t>
      </w:r>
      <w:r w:rsidRPr="00A260ED">
        <w:rPr>
          <w:rFonts w:ascii="Times New Roman" w:eastAsia="MS Mincho" w:hAnsi="Times New Roman"/>
        </w:rPr>
        <w:t xml:space="preserve"> on the </w:t>
      </w:r>
      <w:r w:rsidRPr="00A260ED">
        <w:rPr>
          <w:rFonts w:ascii="Times New Roman" w:hAnsi="Times New Roman"/>
        </w:rPr>
        <w:t>container</w:t>
      </w:r>
      <w:r w:rsidRPr="00A260ED">
        <w:rPr>
          <w:rFonts w:ascii="Times New Roman" w:eastAsia="MS Mincho" w:hAnsi="Times New Roman"/>
        </w:rPr>
        <w:t>.</w:t>
      </w:r>
    </w:p>
    <w:p w14:paraId="5F1D8405" w14:textId="77777777" w:rsidR="00B6112F" w:rsidRPr="00A260ED" w:rsidRDefault="00B6112F" w:rsidP="00CC0160">
      <w:pPr>
        <w:pStyle w:val="Heading2"/>
        <w:numPr>
          <w:ilvl w:val="0"/>
          <w:numId w:val="0"/>
        </w:numPr>
        <w:ind w:left="1134" w:hanging="1134"/>
        <w:rPr>
          <w:rFonts w:ascii="Times New Roman" w:hAnsi="Times New Roman"/>
          <w:sz w:val="22"/>
        </w:rPr>
      </w:pPr>
      <w:r w:rsidRPr="00A260ED">
        <w:rPr>
          <w:rFonts w:ascii="Times New Roman" w:hAnsi="Times New Roman"/>
          <w:sz w:val="22"/>
        </w:rPr>
        <w:t>Shelf life after opening</w:t>
      </w:r>
    </w:p>
    <w:p w14:paraId="0A5E8EEF" w14:textId="33901CBE" w:rsidR="00B6112F" w:rsidRPr="00A260ED" w:rsidRDefault="007F720C" w:rsidP="00EB2A24">
      <w:pPr>
        <w:pStyle w:val="J1"/>
        <w:rPr>
          <w:rFonts w:ascii="Times New Roman" w:eastAsia="MS Mincho" w:hAnsi="Times New Roman"/>
        </w:rPr>
      </w:pPr>
      <w:r>
        <w:rPr>
          <w:rFonts w:ascii="Times New Roman" w:eastAsia="MS Mincho" w:hAnsi="Times New Roman"/>
        </w:rPr>
        <w:t>Gazyvaro</w:t>
      </w:r>
      <w:r w:rsidR="00B6112F" w:rsidRPr="00A260ED">
        <w:rPr>
          <w:rFonts w:ascii="Times New Roman" w:eastAsia="MS Mincho" w:hAnsi="Times New Roman"/>
        </w:rPr>
        <w:t xml:space="preserve"> does not contain antimicrobial preservatives. Therefore care must be taken to ensure that the solution for infusion is not microbiologically compromised during preparation. Chemical and physical stability of the ready-to-use infusion solution has been demonstrated for 24 hours at 2</w:t>
      </w:r>
      <w:r w:rsidR="00B6112F" w:rsidRPr="00A260ED">
        <w:rPr>
          <w:rFonts w:ascii="Times New Roman" w:hAnsi="Times New Roman"/>
        </w:rPr>
        <w:noBreakHyphen/>
      </w:r>
      <w:r w:rsidR="00B6112F" w:rsidRPr="00A260ED">
        <w:rPr>
          <w:rFonts w:ascii="Times New Roman" w:eastAsia="MS Mincho" w:hAnsi="Times New Roman"/>
        </w:rPr>
        <w:t>8°C, followed by 24 hours at ambient temperature (≤30°C), followed by an infusion taking no longer than 24 hours.</w:t>
      </w:r>
    </w:p>
    <w:p w14:paraId="689E1581"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rPr>
        <w:t>For microbiological considerations, the prepared infusion solution should be used immediately. If the prepared solution cannot be administered immediately, the storage time and conditions prior to administration are the responsibility of the user and should not normally exceed 24 hours at 2</w:t>
      </w:r>
      <w:r w:rsidRPr="00A260ED">
        <w:rPr>
          <w:rFonts w:ascii="Times New Roman" w:hAnsi="Times New Roman"/>
        </w:rPr>
        <w:t>-</w:t>
      </w:r>
      <w:r w:rsidRPr="00A260ED">
        <w:rPr>
          <w:rFonts w:ascii="Times New Roman" w:eastAsia="MS Mincho" w:hAnsi="Times New Roman"/>
        </w:rPr>
        <w:t>8°C, unless dilution has taken place under controlled and validated aseptic conditions.</w:t>
      </w:r>
    </w:p>
    <w:p w14:paraId="13ABD5ED" w14:textId="77777777" w:rsidR="00B6112F" w:rsidRPr="00A260ED" w:rsidRDefault="00B6112F" w:rsidP="00EB2A24">
      <w:pPr>
        <w:pStyle w:val="Heading2"/>
        <w:numPr>
          <w:ilvl w:val="0"/>
          <w:numId w:val="0"/>
        </w:numPr>
        <w:ind w:left="1134" w:hanging="1134"/>
        <w:rPr>
          <w:rFonts w:ascii="Times New Roman" w:eastAsia="MS Mincho" w:hAnsi="Times New Roman"/>
          <w:b w:val="0"/>
          <w:i/>
          <w:sz w:val="22"/>
          <w:lang w:val="en-GB"/>
        </w:rPr>
      </w:pPr>
      <w:r w:rsidRPr="00A260ED">
        <w:rPr>
          <w:rFonts w:ascii="Times New Roman" w:eastAsia="MS Mincho" w:hAnsi="Times New Roman"/>
          <w:b w:val="0"/>
          <w:sz w:val="22"/>
          <w:lang w:val="en-GB"/>
        </w:rPr>
        <w:t>Special precautions for storage</w:t>
      </w:r>
    </w:p>
    <w:p w14:paraId="423A9354" w14:textId="77777777" w:rsidR="00B6112F" w:rsidRPr="00A260ED" w:rsidRDefault="00B6112F" w:rsidP="00CC0160">
      <w:pPr>
        <w:pStyle w:val="J1"/>
        <w:rPr>
          <w:rFonts w:ascii="Times New Roman" w:hAnsi="Times New Roman"/>
        </w:rPr>
      </w:pPr>
      <w:r w:rsidRPr="00A260ED">
        <w:rPr>
          <w:rFonts w:ascii="Times New Roman" w:hAnsi="Times New Roman"/>
        </w:rPr>
        <w:t>Store in the refrigerator (2-8°C).</w:t>
      </w:r>
    </w:p>
    <w:p w14:paraId="5C32DA20" w14:textId="72AB7134" w:rsidR="00B6112F" w:rsidRPr="00A260ED" w:rsidRDefault="00B6112F">
      <w:pPr>
        <w:pStyle w:val="J1"/>
        <w:rPr>
          <w:rFonts w:ascii="Times New Roman" w:hAnsi="Times New Roman"/>
        </w:rPr>
      </w:pPr>
      <w:r w:rsidRPr="00A260ED">
        <w:rPr>
          <w:rFonts w:ascii="Times New Roman" w:hAnsi="Times New Roman"/>
        </w:rPr>
        <w:t>Do not shake</w:t>
      </w:r>
      <w:r w:rsidR="00BD3E92" w:rsidRPr="001234BF">
        <w:rPr>
          <w:rFonts w:ascii="Times New Roman" w:hAnsi="Times New Roman" w:cs="Times New Roman"/>
          <w:lang w:bidi="he-IL"/>
        </w:rPr>
        <w:t>.</w:t>
      </w:r>
      <w:r w:rsidRPr="001234BF">
        <w:rPr>
          <w:rFonts w:ascii="Times New Roman" w:hAnsi="Times New Roman" w:cs="Times New Roman"/>
          <w:lang w:bidi="he-IL"/>
        </w:rPr>
        <w:t xml:space="preserve"> </w:t>
      </w:r>
      <w:r w:rsidR="00BD3E92" w:rsidRPr="001234BF">
        <w:rPr>
          <w:rFonts w:ascii="Times New Roman" w:hAnsi="Times New Roman" w:cs="Times New Roman"/>
          <w:lang w:bidi="he-IL"/>
        </w:rPr>
        <w:t>Do</w:t>
      </w:r>
      <w:r w:rsidR="00BD3E92" w:rsidRPr="00A260ED">
        <w:rPr>
          <w:rFonts w:ascii="Times New Roman" w:hAnsi="Times New Roman"/>
        </w:rPr>
        <w:t xml:space="preserve"> </w:t>
      </w:r>
      <w:r w:rsidRPr="00A260ED">
        <w:rPr>
          <w:rFonts w:ascii="Times New Roman" w:hAnsi="Times New Roman"/>
        </w:rPr>
        <w:t>not freeze.</w:t>
      </w:r>
    </w:p>
    <w:p w14:paraId="25E6EAF3" w14:textId="77777777" w:rsidR="00B6112F" w:rsidRPr="00A260ED" w:rsidRDefault="00B6112F" w:rsidP="00EB2A24">
      <w:pPr>
        <w:pStyle w:val="J1"/>
        <w:rPr>
          <w:rFonts w:ascii="Times New Roman" w:hAnsi="Times New Roman"/>
        </w:rPr>
      </w:pPr>
      <w:r w:rsidRPr="00A260ED">
        <w:rPr>
          <w:rFonts w:ascii="Times New Roman" w:hAnsi="Times New Roman"/>
        </w:rPr>
        <w:t>Keep the container in the outer carton in order to protect the contents from light.</w:t>
      </w:r>
    </w:p>
    <w:p w14:paraId="26D02048" w14:textId="77777777" w:rsidR="00B6112F" w:rsidRPr="00A260ED" w:rsidRDefault="00B6112F" w:rsidP="00EB2A24">
      <w:pPr>
        <w:pStyle w:val="J1"/>
        <w:rPr>
          <w:rFonts w:ascii="Times New Roman" w:hAnsi="Times New Roman"/>
        </w:rPr>
      </w:pPr>
      <w:r w:rsidRPr="00A260ED">
        <w:rPr>
          <w:rFonts w:ascii="Times New Roman" w:hAnsi="Times New Roman"/>
        </w:rPr>
        <w:t>Keep out of the reach of children.</w:t>
      </w:r>
    </w:p>
    <w:p w14:paraId="19731FE2" w14:textId="77777777" w:rsidR="00B6112F" w:rsidRPr="00A260ED" w:rsidRDefault="00B6112F" w:rsidP="00EB2A24">
      <w:pPr>
        <w:pStyle w:val="Heading2"/>
        <w:numPr>
          <w:ilvl w:val="0"/>
          <w:numId w:val="0"/>
        </w:numPr>
        <w:ind w:left="1134" w:hanging="1134"/>
        <w:rPr>
          <w:rFonts w:ascii="Times New Roman" w:eastAsia="MS Mincho" w:hAnsi="Times New Roman"/>
          <w:b w:val="0"/>
          <w:i/>
          <w:sz w:val="22"/>
          <w:lang w:val="en-GB"/>
        </w:rPr>
      </w:pPr>
      <w:r w:rsidRPr="00A260ED">
        <w:rPr>
          <w:rFonts w:ascii="Times New Roman" w:eastAsia="MS Mincho" w:hAnsi="Times New Roman"/>
          <w:b w:val="0"/>
          <w:sz w:val="22"/>
          <w:lang w:val="en-GB"/>
        </w:rPr>
        <w:t>Instructions for handling</w:t>
      </w:r>
    </w:p>
    <w:p w14:paraId="709ADDA4" w14:textId="1EC8397A" w:rsidR="00B6112F" w:rsidRPr="00A260ED" w:rsidRDefault="007F720C" w:rsidP="00EB2A24">
      <w:pPr>
        <w:pStyle w:val="J1"/>
        <w:rPr>
          <w:rFonts w:ascii="Times New Roman" w:eastAsia="MS Mincho" w:hAnsi="Times New Roman"/>
        </w:rPr>
      </w:pPr>
      <w:r>
        <w:rPr>
          <w:rFonts w:ascii="Times New Roman" w:eastAsia="MS Mincho" w:hAnsi="Times New Roman"/>
        </w:rPr>
        <w:t>Gazyvaro</w:t>
      </w:r>
      <w:r w:rsidR="00B6112F" w:rsidRPr="00A260ED">
        <w:rPr>
          <w:rFonts w:ascii="Times New Roman" w:eastAsia="MS Mincho" w:hAnsi="Times New Roman"/>
        </w:rPr>
        <w:t xml:space="preserve"> should be prepared by a healthcare professional under aseptic conditions.</w:t>
      </w:r>
      <w:r w:rsidR="003B3A03" w:rsidRPr="001234BF">
        <w:rPr>
          <w:rFonts w:ascii="Times New Roman" w:eastAsia="MS Mincho" w:hAnsi="Times New Roman" w:cs="Times New Roman"/>
          <w:snapToGrid w:val="0"/>
          <w:lang w:eastAsia="ja-JP"/>
        </w:rPr>
        <w:t xml:space="preserve"> Use a sterile needle and syringe to prepare </w:t>
      </w:r>
      <w:r>
        <w:rPr>
          <w:rFonts w:ascii="Times New Roman" w:eastAsia="MS Mincho" w:hAnsi="Times New Roman" w:cs="Times New Roman"/>
          <w:snapToGrid w:val="0"/>
          <w:lang w:eastAsia="ja-JP"/>
        </w:rPr>
        <w:t>Gazyvaro</w:t>
      </w:r>
      <w:r w:rsidR="003B3A03" w:rsidRPr="001234BF">
        <w:rPr>
          <w:rFonts w:ascii="Times New Roman" w:eastAsia="MS Mincho" w:hAnsi="Times New Roman" w:cs="Times New Roman"/>
          <w:snapToGrid w:val="0"/>
          <w:lang w:eastAsia="ja-JP"/>
        </w:rPr>
        <w:t>.</w:t>
      </w:r>
    </w:p>
    <w:p w14:paraId="0035D3CB" w14:textId="77777777" w:rsidR="00B6112F" w:rsidRPr="00A260ED" w:rsidRDefault="00B6112F" w:rsidP="00EB2A24">
      <w:pPr>
        <w:pStyle w:val="Heading2"/>
        <w:numPr>
          <w:ilvl w:val="0"/>
          <w:numId w:val="0"/>
        </w:numPr>
        <w:ind w:left="1134" w:hanging="1134"/>
        <w:rPr>
          <w:rFonts w:ascii="Times New Roman" w:eastAsia="MS Mincho" w:hAnsi="Times New Roman"/>
          <w:sz w:val="22"/>
          <w:lang w:val="en-GB"/>
        </w:rPr>
      </w:pPr>
      <w:r w:rsidRPr="00A260ED">
        <w:rPr>
          <w:rFonts w:ascii="Times New Roman" w:eastAsia="MS Mincho" w:hAnsi="Times New Roman"/>
          <w:i/>
          <w:sz w:val="22"/>
          <w:lang w:val="en-GB"/>
        </w:rPr>
        <w:t>CLL, first infusion (d1 and d2)</w:t>
      </w:r>
    </w:p>
    <w:p w14:paraId="2C0AC5EC" w14:textId="15459946" w:rsidR="00B6112F" w:rsidRPr="00A260ED" w:rsidRDefault="00B6112F" w:rsidP="00EB2A24">
      <w:pPr>
        <w:pStyle w:val="J1"/>
        <w:rPr>
          <w:rFonts w:ascii="Times New Roman" w:eastAsia="MS Mincho" w:hAnsi="Times New Roman"/>
        </w:rPr>
      </w:pPr>
      <w:r w:rsidRPr="00A260ED">
        <w:rPr>
          <w:rFonts w:ascii="Times New Roman" w:eastAsia="MS Mincho" w:hAnsi="Times New Roman"/>
        </w:rPr>
        <w:t>To preclude mix-ups between the two infusion bags for the initial 1000 mg dose, the recommendation is to utilise bags of different sizes to distinguish between the 100 mg dose for cycle</w:t>
      </w:r>
      <w:r w:rsidRPr="00A260ED">
        <w:rPr>
          <w:rFonts w:ascii="Times New Roman" w:hAnsi="Times New Roman"/>
        </w:rPr>
        <w:t> </w:t>
      </w:r>
      <w:r w:rsidRPr="00A260ED">
        <w:rPr>
          <w:rFonts w:ascii="Times New Roman" w:eastAsia="MS Mincho" w:hAnsi="Times New Roman"/>
        </w:rPr>
        <w:t>1 day</w:t>
      </w:r>
      <w:r w:rsidRPr="00A260ED">
        <w:rPr>
          <w:rFonts w:ascii="Times New Roman" w:hAnsi="Times New Roman"/>
        </w:rPr>
        <w:t> </w:t>
      </w:r>
      <w:r w:rsidRPr="00A260ED">
        <w:rPr>
          <w:rFonts w:ascii="Times New Roman" w:eastAsia="MS Mincho" w:hAnsi="Times New Roman"/>
        </w:rPr>
        <w:t>1 and the 900 mg dose for cycle</w:t>
      </w:r>
      <w:r w:rsidRPr="00A260ED">
        <w:rPr>
          <w:rFonts w:ascii="Times New Roman" w:hAnsi="Times New Roman"/>
        </w:rPr>
        <w:t> </w:t>
      </w:r>
      <w:r w:rsidRPr="00A260ED">
        <w:rPr>
          <w:rFonts w:ascii="Times New Roman" w:eastAsia="MS Mincho" w:hAnsi="Times New Roman"/>
        </w:rPr>
        <w:t>1 day</w:t>
      </w:r>
      <w:r w:rsidRPr="00A260ED">
        <w:rPr>
          <w:rFonts w:ascii="Times New Roman" w:hAnsi="Times New Roman"/>
        </w:rPr>
        <w:t> </w:t>
      </w:r>
      <w:r w:rsidRPr="00A260ED">
        <w:rPr>
          <w:rFonts w:ascii="Times New Roman" w:eastAsia="MS Mincho" w:hAnsi="Times New Roman"/>
        </w:rPr>
        <w:t>1 (continued) or day</w:t>
      </w:r>
      <w:r w:rsidRPr="00A260ED">
        <w:rPr>
          <w:rFonts w:ascii="Times New Roman" w:hAnsi="Times New Roman"/>
        </w:rPr>
        <w:t> </w:t>
      </w:r>
      <w:r w:rsidRPr="00A260ED">
        <w:rPr>
          <w:rFonts w:ascii="Times New Roman" w:eastAsia="MS Mincho" w:hAnsi="Times New Roman"/>
        </w:rPr>
        <w:t>2. To prepare the two infusion bags, withdraw 40</w:t>
      </w:r>
      <w:r w:rsidRPr="00A260ED">
        <w:rPr>
          <w:rFonts w:ascii="Times New Roman" w:hAnsi="Times New Roman"/>
        </w:rPr>
        <w:t xml:space="preserve"> </w:t>
      </w:r>
      <w:r w:rsidRPr="00A260ED">
        <w:rPr>
          <w:rFonts w:ascii="Times New Roman" w:eastAsia="MS Mincho" w:hAnsi="Times New Roman"/>
        </w:rPr>
        <w:t xml:space="preserve">ml of </w:t>
      </w:r>
      <w:r w:rsidR="007F720C">
        <w:rPr>
          <w:rFonts w:ascii="Times New Roman" w:eastAsia="MS Mincho" w:hAnsi="Times New Roman"/>
        </w:rPr>
        <w:t>Gazyvaro</w:t>
      </w:r>
      <w:r w:rsidRPr="00A260ED">
        <w:rPr>
          <w:rFonts w:ascii="Times New Roman" w:eastAsia="MS Mincho" w:hAnsi="Times New Roman"/>
        </w:rPr>
        <w:t xml:space="preserve"> concentrate from the vial and dilute 4 ml in a 100 ml infusion bag and the remaining 36 ml in a 250 ml PVC </w:t>
      </w:r>
      <w:r w:rsidRPr="00A260ED">
        <w:rPr>
          <w:rFonts w:ascii="Times New Roman" w:eastAsia="MS Mincho" w:hAnsi="Times New Roman"/>
        </w:rPr>
        <w:lastRenderedPageBreak/>
        <w:t>or PVC-free polyolefin infusion bag containing sterile, pyrogen-free 0.9% aqueous sodium chloride solution. Clearly label all infusion bags.</w:t>
      </w:r>
    </w:p>
    <w:p w14:paraId="3457CAE6" w14:textId="77777777" w:rsidR="00B6112F" w:rsidRPr="00A260ED" w:rsidRDefault="00B6112F" w:rsidP="00EB2A24">
      <w:pPr>
        <w:pStyle w:val="Heading2"/>
        <w:numPr>
          <w:ilvl w:val="0"/>
          <w:numId w:val="0"/>
        </w:numPr>
        <w:ind w:left="1134" w:hanging="1134"/>
        <w:rPr>
          <w:rFonts w:ascii="Times New Roman" w:eastAsia="MS Mincho" w:hAnsi="Times New Roman"/>
          <w:sz w:val="22"/>
          <w:lang w:val="en-GB"/>
        </w:rPr>
      </w:pPr>
      <w:r w:rsidRPr="00A260ED">
        <w:rPr>
          <w:rFonts w:ascii="Times New Roman" w:eastAsia="MS Mincho" w:hAnsi="Times New Roman"/>
          <w:i/>
          <w:sz w:val="22"/>
          <w:lang w:val="en-GB"/>
        </w:rPr>
        <w:t>CLL, all subsequent infusions (cycle 1 d8 and d15 and cycles 2</w:t>
      </w:r>
      <w:r w:rsidRPr="00A260ED">
        <w:rPr>
          <w:rFonts w:ascii="Times New Roman" w:hAnsi="Times New Roman"/>
          <w:sz w:val="22"/>
        </w:rPr>
        <w:noBreakHyphen/>
      </w:r>
      <w:r w:rsidRPr="00A260ED">
        <w:rPr>
          <w:rFonts w:ascii="Times New Roman" w:eastAsia="MS Mincho" w:hAnsi="Times New Roman"/>
          <w:i/>
          <w:sz w:val="22"/>
          <w:lang w:val="en-GB"/>
        </w:rPr>
        <w:t>6) and FL, all infusions</w:t>
      </w:r>
    </w:p>
    <w:p w14:paraId="270FAB74" w14:textId="20256028" w:rsidR="00B6112F" w:rsidRPr="00A260ED" w:rsidRDefault="00B6112F" w:rsidP="00EB2A24">
      <w:pPr>
        <w:pStyle w:val="J1"/>
        <w:spacing w:after="180"/>
        <w:rPr>
          <w:rFonts w:ascii="Times New Roman" w:eastAsia="MS Mincho" w:hAnsi="Times New Roman"/>
        </w:rPr>
      </w:pPr>
      <w:r w:rsidRPr="00A260ED">
        <w:rPr>
          <w:rFonts w:ascii="Times New Roman" w:eastAsia="MS Mincho" w:hAnsi="Times New Roman"/>
        </w:rPr>
        <w:t xml:space="preserve">Withdraw 40 ml of </w:t>
      </w:r>
      <w:r w:rsidR="007F720C">
        <w:rPr>
          <w:rFonts w:ascii="Times New Roman" w:eastAsia="MS Mincho" w:hAnsi="Times New Roman"/>
        </w:rPr>
        <w:t>Gazyvaro</w:t>
      </w:r>
      <w:r w:rsidRPr="00A260ED">
        <w:rPr>
          <w:rFonts w:ascii="Times New Roman" w:eastAsia="MS Mincho" w:hAnsi="Times New Roman"/>
        </w:rPr>
        <w:t xml:space="preserve"> concentrate from the vial and dilute, for example, in PVC or PVC-free polyolefin infusion bags containing sterile, pyrogen-free 0.9% aqueous sodium chloride solution.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4"/>
        <w:gridCol w:w="2984"/>
        <w:gridCol w:w="2984"/>
      </w:tblGrid>
      <w:tr w:rsidR="00B6112F" w:rsidRPr="001234BF" w14:paraId="2DDA3A0B" w14:textId="77777777" w:rsidTr="00EB2A24">
        <w:trPr>
          <w:jc w:val="center"/>
        </w:trPr>
        <w:tc>
          <w:tcPr>
            <w:tcW w:w="2984" w:type="dxa"/>
          </w:tcPr>
          <w:p w14:paraId="1F314913" w14:textId="2FCF021F" w:rsidR="00B6112F" w:rsidRPr="00A260ED" w:rsidRDefault="00B6112F">
            <w:pPr>
              <w:keepNext/>
              <w:spacing w:before="20" w:after="20"/>
              <w:jc w:val="center"/>
              <w:rPr>
                <w:rFonts w:ascii="Times New Roman" w:hAnsi="Times New Roman"/>
                <w:b/>
              </w:rPr>
            </w:pPr>
            <w:r w:rsidRPr="00A260ED">
              <w:rPr>
                <w:rFonts w:ascii="Times New Roman" w:hAnsi="Times New Roman"/>
                <w:b/>
              </w:rPr>
              <w:t xml:space="preserve">Dose of </w:t>
            </w:r>
            <w:r w:rsidR="007F720C">
              <w:rPr>
                <w:rFonts w:ascii="Times New Roman" w:hAnsi="Times New Roman"/>
                <w:b/>
              </w:rPr>
              <w:t>Gazyvaro</w:t>
            </w:r>
            <w:r w:rsidRPr="00A260ED">
              <w:rPr>
                <w:rFonts w:ascii="Times New Roman" w:hAnsi="Times New Roman"/>
                <w:b/>
              </w:rPr>
              <w:t xml:space="preserve"> to be administered</w:t>
            </w:r>
          </w:p>
        </w:tc>
        <w:tc>
          <w:tcPr>
            <w:tcW w:w="2984" w:type="dxa"/>
          </w:tcPr>
          <w:p w14:paraId="40CD1FC4" w14:textId="60A261A8" w:rsidR="00B6112F" w:rsidRPr="00A260ED" w:rsidRDefault="00B6112F">
            <w:pPr>
              <w:keepNext/>
              <w:spacing w:before="20" w:after="20"/>
              <w:jc w:val="center"/>
              <w:rPr>
                <w:rFonts w:ascii="Times New Roman" w:hAnsi="Times New Roman"/>
                <w:b/>
              </w:rPr>
            </w:pPr>
            <w:r w:rsidRPr="00A260ED">
              <w:rPr>
                <w:rFonts w:ascii="Times New Roman" w:hAnsi="Times New Roman"/>
                <w:b/>
              </w:rPr>
              <w:t xml:space="preserve">Required amount of </w:t>
            </w:r>
            <w:r w:rsidR="007F720C">
              <w:rPr>
                <w:rFonts w:ascii="Times New Roman" w:hAnsi="Times New Roman"/>
                <w:b/>
              </w:rPr>
              <w:t>Gazyvaro</w:t>
            </w:r>
            <w:r w:rsidRPr="00A260ED">
              <w:rPr>
                <w:rFonts w:ascii="Times New Roman" w:hAnsi="Times New Roman"/>
                <w:b/>
              </w:rPr>
              <w:t xml:space="preserve"> concentrate</w:t>
            </w:r>
          </w:p>
        </w:tc>
        <w:tc>
          <w:tcPr>
            <w:tcW w:w="2984" w:type="dxa"/>
          </w:tcPr>
          <w:p w14:paraId="18486F15" w14:textId="77777777" w:rsidR="00B6112F" w:rsidRPr="00A260ED" w:rsidRDefault="00B6112F">
            <w:pPr>
              <w:keepNext/>
              <w:spacing w:before="20" w:after="20"/>
              <w:jc w:val="center"/>
              <w:rPr>
                <w:rFonts w:ascii="Times New Roman" w:eastAsiaTheme="minorEastAsia" w:hAnsi="Times New Roman" w:cstheme="minorBidi"/>
                <w:b/>
              </w:rPr>
            </w:pPr>
            <w:r w:rsidRPr="00A260ED">
              <w:rPr>
                <w:rFonts w:ascii="Times New Roman" w:hAnsi="Times New Roman"/>
                <w:b/>
              </w:rPr>
              <w:t>Size of PVC or PVC-free polyolefin infusion bag</w:t>
            </w:r>
          </w:p>
        </w:tc>
      </w:tr>
      <w:tr w:rsidR="00B6112F" w:rsidRPr="001234BF" w14:paraId="40EDA886" w14:textId="77777777" w:rsidTr="00EB2A24">
        <w:trPr>
          <w:jc w:val="center"/>
        </w:trPr>
        <w:tc>
          <w:tcPr>
            <w:tcW w:w="2984" w:type="dxa"/>
          </w:tcPr>
          <w:p w14:paraId="27F1816D" w14:textId="77777777" w:rsidR="00B6112F" w:rsidRPr="00A260ED" w:rsidRDefault="00B6112F">
            <w:pPr>
              <w:keepNext/>
              <w:spacing w:before="20" w:after="20"/>
              <w:jc w:val="center"/>
              <w:rPr>
                <w:rFonts w:ascii="Times New Roman" w:hAnsi="Times New Roman"/>
              </w:rPr>
            </w:pPr>
            <w:r w:rsidRPr="00A260ED">
              <w:rPr>
                <w:rFonts w:ascii="Times New Roman" w:hAnsi="Times New Roman"/>
              </w:rPr>
              <w:t>100 mg</w:t>
            </w:r>
          </w:p>
        </w:tc>
        <w:tc>
          <w:tcPr>
            <w:tcW w:w="2984" w:type="dxa"/>
          </w:tcPr>
          <w:p w14:paraId="76FF0CBC" w14:textId="77777777" w:rsidR="00B6112F" w:rsidRPr="00A260ED" w:rsidRDefault="00B6112F">
            <w:pPr>
              <w:keepNext/>
              <w:spacing w:before="20" w:after="20"/>
              <w:jc w:val="center"/>
              <w:rPr>
                <w:rFonts w:ascii="Times New Roman" w:eastAsiaTheme="minorEastAsia" w:hAnsi="Times New Roman" w:cstheme="minorBidi"/>
              </w:rPr>
            </w:pPr>
            <w:r w:rsidRPr="00A260ED">
              <w:rPr>
                <w:rFonts w:ascii="Times New Roman" w:hAnsi="Times New Roman"/>
              </w:rPr>
              <w:t>4 ml</w:t>
            </w:r>
          </w:p>
        </w:tc>
        <w:tc>
          <w:tcPr>
            <w:tcW w:w="2984" w:type="dxa"/>
          </w:tcPr>
          <w:p w14:paraId="319875D8" w14:textId="77777777" w:rsidR="00B6112F" w:rsidRPr="00A260ED" w:rsidRDefault="00B6112F">
            <w:pPr>
              <w:keepNext/>
              <w:spacing w:before="20" w:after="20"/>
              <w:jc w:val="center"/>
              <w:rPr>
                <w:rFonts w:ascii="Times New Roman" w:eastAsiaTheme="minorEastAsia" w:hAnsi="Times New Roman" w:cstheme="minorBidi"/>
              </w:rPr>
            </w:pPr>
            <w:r w:rsidRPr="00A260ED">
              <w:rPr>
                <w:rFonts w:ascii="Times New Roman" w:hAnsi="Times New Roman"/>
              </w:rPr>
              <w:t>100 ml</w:t>
            </w:r>
          </w:p>
        </w:tc>
      </w:tr>
      <w:tr w:rsidR="00B6112F" w:rsidRPr="001234BF" w14:paraId="349DCE69" w14:textId="77777777" w:rsidTr="00EB2A24">
        <w:trPr>
          <w:jc w:val="center"/>
        </w:trPr>
        <w:tc>
          <w:tcPr>
            <w:tcW w:w="2984" w:type="dxa"/>
          </w:tcPr>
          <w:p w14:paraId="7866FA56" w14:textId="77777777" w:rsidR="00B6112F" w:rsidRPr="00A260ED" w:rsidRDefault="00B6112F">
            <w:pPr>
              <w:keepNext/>
              <w:spacing w:before="20" w:after="20"/>
              <w:jc w:val="center"/>
              <w:rPr>
                <w:rFonts w:ascii="Times New Roman" w:hAnsi="Times New Roman"/>
              </w:rPr>
            </w:pPr>
            <w:r w:rsidRPr="00A260ED">
              <w:rPr>
                <w:rFonts w:ascii="Times New Roman" w:hAnsi="Times New Roman"/>
              </w:rPr>
              <w:t>900 mg</w:t>
            </w:r>
          </w:p>
        </w:tc>
        <w:tc>
          <w:tcPr>
            <w:tcW w:w="2984" w:type="dxa"/>
          </w:tcPr>
          <w:p w14:paraId="219EB765" w14:textId="77777777" w:rsidR="00B6112F" w:rsidRPr="00A260ED" w:rsidRDefault="00B6112F">
            <w:pPr>
              <w:keepNext/>
              <w:spacing w:before="20" w:after="20"/>
              <w:jc w:val="center"/>
              <w:rPr>
                <w:rFonts w:ascii="Times New Roman" w:eastAsiaTheme="minorEastAsia" w:hAnsi="Times New Roman" w:cstheme="minorBidi"/>
              </w:rPr>
            </w:pPr>
            <w:r w:rsidRPr="00A260ED">
              <w:rPr>
                <w:rFonts w:ascii="Times New Roman" w:hAnsi="Times New Roman"/>
              </w:rPr>
              <w:t>36 ml</w:t>
            </w:r>
          </w:p>
        </w:tc>
        <w:tc>
          <w:tcPr>
            <w:tcW w:w="2984" w:type="dxa"/>
          </w:tcPr>
          <w:p w14:paraId="60EE64CC" w14:textId="77777777" w:rsidR="00B6112F" w:rsidRPr="00A260ED" w:rsidRDefault="00B6112F">
            <w:pPr>
              <w:keepNext/>
              <w:spacing w:before="20" w:after="20"/>
              <w:jc w:val="center"/>
              <w:rPr>
                <w:rFonts w:ascii="Times New Roman" w:eastAsiaTheme="minorEastAsia" w:hAnsi="Times New Roman" w:cstheme="minorBidi"/>
              </w:rPr>
            </w:pPr>
            <w:r w:rsidRPr="00A260ED">
              <w:rPr>
                <w:rFonts w:ascii="Times New Roman" w:hAnsi="Times New Roman"/>
              </w:rPr>
              <w:t>250 ml</w:t>
            </w:r>
          </w:p>
        </w:tc>
      </w:tr>
      <w:tr w:rsidR="00B6112F" w:rsidRPr="001234BF" w14:paraId="4C7B274D" w14:textId="77777777" w:rsidTr="00EB2A24">
        <w:trPr>
          <w:jc w:val="center"/>
        </w:trPr>
        <w:tc>
          <w:tcPr>
            <w:tcW w:w="2984" w:type="dxa"/>
          </w:tcPr>
          <w:p w14:paraId="250465FE" w14:textId="77777777" w:rsidR="00B6112F" w:rsidRPr="00A260ED" w:rsidRDefault="00B6112F">
            <w:pPr>
              <w:spacing w:before="20" w:after="20"/>
              <w:jc w:val="center"/>
              <w:rPr>
                <w:rFonts w:ascii="Times New Roman" w:hAnsi="Times New Roman"/>
              </w:rPr>
            </w:pPr>
            <w:r w:rsidRPr="00A260ED">
              <w:rPr>
                <w:rFonts w:ascii="Times New Roman" w:hAnsi="Times New Roman"/>
              </w:rPr>
              <w:t>1000 mg</w:t>
            </w:r>
          </w:p>
        </w:tc>
        <w:tc>
          <w:tcPr>
            <w:tcW w:w="2984" w:type="dxa"/>
          </w:tcPr>
          <w:p w14:paraId="34C97E91" w14:textId="77777777" w:rsidR="00B6112F" w:rsidRPr="00A260ED" w:rsidRDefault="00B6112F">
            <w:pPr>
              <w:spacing w:before="20" w:after="20"/>
              <w:jc w:val="center"/>
              <w:rPr>
                <w:rFonts w:ascii="Times New Roman" w:eastAsiaTheme="minorEastAsia" w:hAnsi="Times New Roman" w:cstheme="minorBidi"/>
              </w:rPr>
            </w:pPr>
            <w:r w:rsidRPr="00A260ED">
              <w:rPr>
                <w:rFonts w:ascii="Times New Roman" w:hAnsi="Times New Roman"/>
              </w:rPr>
              <w:t>40 ml</w:t>
            </w:r>
          </w:p>
        </w:tc>
        <w:tc>
          <w:tcPr>
            <w:tcW w:w="2984" w:type="dxa"/>
          </w:tcPr>
          <w:p w14:paraId="31094A7B" w14:textId="77777777" w:rsidR="00B6112F" w:rsidRPr="00A260ED" w:rsidRDefault="00B6112F">
            <w:pPr>
              <w:spacing w:before="20" w:after="20"/>
              <w:jc w:val="center"/>
              <w:rPr>
                <w:rFonts w:ascii="Times New Roman" w:eastAsiaTheme="minorEastAsia" w:hAnsi="Times New Roman" w:cstheme="minorBidi"/>
              </w:rPr>
            </w:pPr>
            <w:r w:rsidRPr="00A260ED">
              <w:rPr>
                <w:rFonts w:ascii="Times New Roman" w:hAnsi="Times New Roman"/>
              </w:rPr>
              <w:t>250 ml</w:t>
            </w:r>
          </w:p>
        </w:tc>
      </w:tr>
    </w:tbl>
    <w:p w14:paraId="2B9F8DEA" w14:textId="77777777" w:rsidR="00B6112F" w:rsidRPr="00A260ED" w:rsidRDefault="00B6112F" w:rsidP="00EB2A24">
      <w:pPr>
        <w:pStyle w:val="J2"/>
        <w:rPr>
          <w:rFonts w:ascii="Times New Roman" w:hAnsi="Times New Roman"/>
        </w:rPr>
      </w:pPr>
      <w:r w:rsidRPr="00A260ED">
        <w:rPr>
          <w:rFonts w:ascii="Times New Roman" w:hAnsi="Times New Roman"/>
        </w:rPr>
        <w:t>Diluents other than 0.9% NaCl solution should not be used (see “Incompatibilities”).</w:t>
      </w:r>
    </w:p>
    <w:p w14:paraId="231414CA"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rPr>
        <w:t>Gently invert the infusion bag to mix the solution and avoid excessive foaming.</w:t>
      </w:r>
    </w:p>
    <w:p w14:paraId="546E477F"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rPr>
        <w:t xml:space="preserve">Parenteral drug products should be inspected visually for particulates and </w:t>
      </w:r>
      <w:r w:rsidRPr="00A260ED">
        <w:rPr>
          <w:rFonts w:ascii="Times New Roman" w:hAnsi="Times New Roman"/>
        </w:rPr>
        <w:t>discoloration</w:t>
      </w:r>
      <w:r w:rsidRPr="00A260ED">
        <w:rPr>
          <w:rFonts w:ascii="Times New Roman" w:eastAsia="MS Mincho" w:hAnsi="Times New Roman"/>
        </w:rPr>
        <w:t xml:space="preserve"> prior to administration.</w:t>
      </w:r>
    </w:p>
    <w:p w14:paraId="25B9C33B" w14:textId="77777777" w:rsidR="00B6112F" w:rsidRPr="00A260ED" w:rsidRDefault="00B6112F" w:rsidP="00EB2A24">
      <w:pPr>
        <w:pStyle w:val="Heading2"/>
        <w:numPr>
          <w:ilvl w:val="0"/>
          <w:numId w:val="0"/>
        </w:numPr>
        <w:ind w:left="1134" w:hanging="1134"/>
        <w:rPr>
          <w:rFonts w:ascii="Times New Roman" w:eastAsia="MS Mincho" w:hAnsi="Times New Roman"/>
          <w:sz w:val="22"/>
          <w:lang w:val="en-GB"/>
        </w:rPr>
      </w:pPr>
      <w:r w:rsidRPr="00A260ED">
        <w:rPr>
          <w:rFonts w:ascii="Times New Roman" w:eastAsia="MS Mincho" w:hAnsi="Times New Roman"/>
          <w:i/>
          <w:sz w:val="22"/>
          <w:lang w:val="en-GB"/>
        </w:rPr>
        <w:t>Disposal of unused and expired medicinal product</w:t>
      </w:r>
    </w:p>
    <w:p w14:paraId="62837E15"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rPr>
        <w:t>Any medicinal products unused after the end of treatment or by the expiry date should be returned in their original packaging to the place of supply (physician or pharmacist) for proper disposal.</w:t>
      </w:r>
    </w:p>
    <w:p w14:paraId="6988C8B0" w14:textId="77777777" w:rsidR="00B6112F" w:rsidRPr="00A260ED" w:rsidRDefault="00B6112F" w:rsidP="00EB2A24">
      <w:pPr>
        <w:pStyle w:val="Heading1"/>
        <w:numPr>
          <w:ilvl w:val="0"/>
          <w:numId w:val="0"/>
        </w:numPr>
        <w:ind w:left="1134" w:hanging="1134"/>
        <w:rPr>
          <w:rFonts w:ascii="Times New Roman" w:eastAsia="MS Mincho" w:hAnsi="Times New Roman"/>
          <w:b w:val="0"/>
          <w:sz w:val="22"/>
          <w:lang w:val="en-GB"/>
        </w:rPr>
      </w:pPr>
      <w:r w:rsidRPr="00A260ED">
        <w:rPr>
          <w:rFonts w:ascii="Times New Roman" w:eastAsia="MS Mincho" w:hAnsi="Times New Roman"/>
          <w:sz w:val="22"/>
          <w:lang w:val="en-GB"/>
        </w:rPr>
        <w:t>Packs</w:t>
      </w:r>
    </w:p>
    <w:p w14:paraId="3F87F8B4" w14:textId="77777777" w:rsidR="00B6112F" w:rsidRPr="00A260ED" w:rsidRDefault="00B6112F" w:rsidP="00EB2A24">
      <w:pPr>
        <w:pStyle w:val="J1"/>
        <w:rPr>
          <w:rFonts w:ascii="Times New Roman" w:eastAsia="MS Mincho" w:hAnsi="Times New Roman"/>
        </w:rPr>
      </w:pPr>
      <w:r w:rsidRPr="00A260ED">
        <w:rPr>
          <w:rFonts w:ascii="Times New Roman" w:eastAsia="MS Mincho" w:hAnsi="Times New Roman"/>
        </w:rPr>
        <w:t>1000</w:t>
      </w:r>
      <w:r w:rsidRPr="00A260ED">
        <w:rPr>
          <w:rFonts w:ascii="Times New Roman" w:hAnsi="Times New Roman"/>
        </w:rPr>
        <w:t xml:space="preserve"> </w:t>
      </w:r>
      <w:r w:rsidRPr="00A260ED">
        <w:rPr>
          <w:rFonts w:ascii="Times New Roman" w:eastAsia="MS Mincho" w:hAnsi="Times New Roman"/>
        </w:rPr>
        <w:t>mg</w:t>
      </w:r>
      <w:r w:rsidRPr="00A260ED">
        <w:rPr>
          <w:rFonts w:ascii="Times New Roman" w:hAnsi="Times New Roman"/>
        </w:rPr>
        <w:t xml:space="preserve"> vial: </w:t>
      </w:r>
      <w:r w:rsidRPr="00A260ED">
        <w:rPr>
          <w:rFonts w:ascii="Times New Roman" w:eastAsia="MS Mincho" w:hAnsi="Times New Roman"/>
        </w:rPr>
        <w:t>1</w:t>
      </w:r>
    </w:p>
    <w:p w14:paraId="5E5CF964" w14:textId="77777777" w:rsidR="00B6112F" w:rsidRPr="00A260ED" w:rsidRDefault="00B6112F" w:rsidP="00EB2A24">
      <w:pPr>
        <w:pStyle w:val="J1"/>
        <w:rPr>
          <w:rFonts w:ascii="Times New Roman" w:eastAsia="MS Mincho" w:hAnsi="Times New Roman"/>
        </w:rPr>
      </w:pPr>
    </w:p>
    <w:p w14:paraId="2FD84FAA" w14:textId="77777777" w:rsidR="00B6112F" w:rsidRPr="00A260ED" w:rsidRDefault="00B6112F" w:rsidP="00B6112F">
      <w:pPr>
        <w:pStyle w:val="TextTi12"/>
        <w:rPr>
          <w:sz w:val="22"/>
        </w:rPr>
      </w:pPr>
      <w:r w:rsidRPr="00A260ED">
        <w:rPr>
          <w:b/>
          <w:sz w:val="22"/>
        </w:rPr>
        <w:t>This is a medicament</w:t>
      </w:r>
    </w:p>
    <w:p w14:paraId="1874FA89" w14:textId="77777777" w:rsidR="00B6112F" w:rsidRPr="00A260ED" w:rsidRDefault="00B6112F" w:rsidP="00B6112F">
      <w:pPr>
        <w:pStyle w:val="TextTi12"/>
        <w:rPr>
          <w:sz w:val="22"/>
        </w:rPr>
      </w:pPr>
      <w:r w:rsidRPr="00A260ED">
        <w:rPr>
          <w:sz w:val="22"/>
        </w:rPr>
        <w:t>A medicament is a product which affects your health, and its consumption contrary to instructions is dangerous for you.</w:t>
      </w:r>
    </w:p>
    <w:p w14:paraId="5ABC2213" w14:textId="77777777" w:rsidR="00B6112F" w:rsidRPr="00A260ED" w:rsidRDefault="00B6112F" w:rsidP="00B6112F">
      <w:pPr>
        <w:pStyle w:val="TextTi12"/>
        <w:rPr>
          <w:sz w:val="22"/>
        </w:rPr>
      </w:pPr>
      <w:r w:rsidRPr="00A260ED">
        <w:rPr>
          <w:sz w:val="22"/>
        </w:rPr>
        <w:t>Follow strictly the doctor’s prescription, the method of use and the instructions of the pharmacist who sold the medicament.</w:t>
      </w:r>
    </w:p>
    <w:p w14:paraId="7E74179A" w14:textId="77777777" w:rsidR="00B6112F" w:rsidRPr="00A260ED" w:rsidRDefault="00B6112F" w:rsidP="00B6112F">
      <w:pPr>
        <w:pStyle w:val="TextTi12"/>
        <w:rPr>
          <w:sz w:val="22"/>
        </w:rPr>
      </w:pPr>
      <w:r w:rsidRPr="00A260ED">
        <w:rPr>
          <w:sz w:val="22"/>
        </w:rPr>
        <w:t>The doctor and the pharmacist are experts in medicine, its benefits and risks.</w:t>
      </w:r>
    </w:p>
    <w:p w14:paraId="46BA73F1" w14:textId="77777777" w:rsidR="00B6112F" w:rsidRPr="00A260ED" w:rsidRDefault="00B6112F" w:rsidP="00B6112F">
      <w:pPr>
        <w:pStyle w:val="TextTi12"/>
        <w:rPr>
          <w:sz w:val="22"/>
        </w:rPr>
      </w:pPr>
      <w:r w:rsidRPr="00A260ED">
        <w:rPr>
          <w:sz w:val="22"/>
        </w:rPr>
        <w:t>Do not by yourself interrupt the period of treatment prescribed for you.</w:t>
      </w:r>
    </w:p>
    <w:p w14:paraId="79FECE45" w14:textId="77777777" w:rsidR="00B6112F" w:rsidRPr="00A260ED" w:rsidRDefault="00B6112F" w:rsidP="00B6112F">
      <w:pPr>
        <w:pStyle w:val="TextTi12"/>
        <w:rPr>
          <w:sz w:val="22"/>
        </w:rPr>
      </w:pPr>
      <w:r w:rsidRPr="00A260ED">
        <w:rPr>
          <w:sz w:val="22"/>
        </w:rPr>
        <w:t>Do not repeat the same prescription without consulting your doctor.</w:t>
      </w:r>
    </w:p>
    <w:p w14:paraId="3F3C3895" w14:textId="77777777" w:rsidR="00B6112F" w:rsidRPr="00A260ED" w:rsidRDefault="00B6112F" w:rsidP="00B6112F">
      <w:pPr>
        <w:pStyle w:val="TextTi12"/>
        <w:pBdr>
          <w:top w:val="single" w:sz="2" w:space="1" w:color="000000"/>
          <w:left w:val="single" w:sz="2" w:space="4" w:color="000000"/>
          <w:bottom w:val="single" w:sz="2" w:space="1" w:color="000000"/>
          <w:right w:val="single" w:sz="2" w:space="4" w:color="000000"/>
        </w:pBdr>
        <w:jc w:val="center"/>
        <w:rPr>
          <w:sz w:val="22"/>
        </w:rPr>
      </w:pPr>
      <w:r w:rsidRPr="00A260ED">
        <w:rPr>
          <w:sz w:val="22"/>
        </w:rPr>
        <w:t>Medicine: keep out of reach of children</w:t>
      </w:r>
    </w:p>
    <w:p w14:paraId="04538E5D" w14:textId="77777777" w:rsidR="00B6112F" w:rsidRPr="00A260ED" w:rsidRDefault="00B6112F" w:rsidP="00B6112F">
      <w:pPr>
        <w:pStyle w:val="TextTi12"/>
        <w:ind w:firstLine="720"/>
        <w:jc w:val="right"/>
        <w:rPr>
          <w:sz w:val="22"/>
        </w:rPr>
      </w:pPr>
      <w:r w:rsidRPr="00A260ED">
        <w:rPr>
          <w:sz w:val="22"/>
        </w:rPr>
        <w:t>Council of Arab Health Ministers</w:t>
      </w:r>
    </w:p>
    <w:p w14:paraId="14893E49" w14:textId="77777777" w:rsidR="00B6112F" w:rsidRPr="00A260ED" w:rsidRDefault="00B6112F" w:rsidP="00B6112F">
      <w:pPr>
        <w:pStyle w:val="TextTi12"/>
        <w:jc w:val="right"/>
        <w:rPr>
          <w:sz w:val="22"/>
        </w:rPr>
      </w:pPr>
      <w:r w:rsidRPr="00A260ED">
        <w:rPr>
          <w:sz w:val="22"/>
        </w:rPr>
        <w:t>Union of Arab Pharmacists</w:t>
      </w:r>
    </w:p>
    <w:p w14:paraId="70272858" w14:textId="3622D9D1" w:rsidR="00B6112F" w:rsidRPr="00A260ED" w:rsidRDefault="00341BD9" w:rsidP="00341BD9">
      <w:pPr>
        <w:pStyle w:val="TextTi12"/>
        <w:rPr>
          <w:sz w:val="22"/>
        </w:rPr>
      </w:pPr>
      <w:r w:rsidRPr="00A260ED">
        <w:rPr>
          <w:sz w:val="22"/>
        </w:rPr>
        <w:t xml:space="preserve">Current at </w:t>
      </w:r>
      <w:r w:rsidR="003B3A03" w:rsidRPr="001234BF">
        <w:rPr>
          <w:sz w:val="22"/>
          <w:szCs w:val="22"/>
        </w:rPr>
        <w:t>January 2021</w:t>
      </w:r>
    </w:p>
    <w:p w14:paraId="2943B028" w14:textId="77777777" w:rsidR="00B6112F" w:rsidRPr="00A260ED" w:rsidRDefault="00B6112F" w:rsidP="00EB2A24">
      <w:pPr>
        <w:pStyle w:val="TextTi12"/>
        <w:rPr>
          <w:rFonts w:eastAsia="SimSun"/>
          <w:sz w:val="22"/>
        </w:rPr>
      </w:pPr>
      <w:r w:rsidRPr="00A260ED">
        <w:rPr>
          <w:rFonts w:eastAsia="SimSun"/>
          <w:sz w:val="22"/>
        </w:rPr>
        <w:t>Made for F. Hoffmann-La Roche Ltd, Basel, Switzerland</w:t>
      </w:r>
      <w:r w:rsidRPr="00A260ED">
        <w:rPr>
          <w:sz w:val="22"/>
        </w:rPr>
        <w:t>,</w:t>
      </w:r>
      <w:r w:rsidRPr="00A260ED">
        <w:rPr>
          <w:rFonts w:eastAsia="SimSun"/>
          <w:sz w:val="22"/>
        </w:rPr>
        <w:t xml:space="preserve"> </w:t>
      </w:r>
    </w:p>
    <w:p w14:paraId="24C9AF7F" w14:textId="77777777" w:rsidR="00B6112F" w:rsidRPr="00A260ED" w:rsidRDefault="00B6112F" w:rsidP="00EB2A24">
      <w:pPr>
        <w:pStyle w:val="TextTi12"/>
        <w:rPr>
          <w:rFonts w:eastAsia="SimSun"/>
          <w:sz w:val="22"/>
        </w:rPr>
      </w:pPr>
      <w:proofErr w:type="gramStart"/>
      <w:r w:rsidRPr="00A260ED">
        <w:rPr>
          <w:rFonts w:eastAsia="SimSun"/>
          <w:sz w:val="22"/>
        </w:rPr>
        <w:t>by</w:t>
      </w:r>
      <w:proofErr w:type="gramEnd"/>
      <w:r w:rsidRPr="00A260ED">
        <w:rPr>
          <w:rFonts w:eastAsia="SimSun"/>
          <w:sz w:val="22"/>
        </w:rPr>
        <w:t xml:space="preserve"> </w:t>
      </w:r>
      <w:bookmarkStart w:id="1" w:name="_Ref55309446"/>
      <w:bookmarkStart w:id="2" w:name="_Ref55310708"/>
      <w:r w:rsidRPr="00A260ED">
        <w:rPr>
          <w:rFonts w:eastAsia="SimSun"/>
          <w:sz w:val="22"/>
        </w:rPr>
        <w:t xml:space="preserve">Roche Diagnostics GmbH, Mannheim, </w:t>
      </w:r>
      <w:bookmarkEnd w:id="1"/>
      <w:bookmarkEnd w:id="2"/>
      <w:r w:rsidRPr="00A260ED">
        <w:rPr>
          <w:rFonts w:eastAsia="SimSun"/>
          <w:sz w:val="22"/>
        </w:rPr>
        <w:t>Germany</w:t>
      </w:r>
      <w:r w:rsidRPr="00A260ED">
        <w:rPr>
          <w:sz w:val="22"/>
        </w:rPr>
        <w:t xml:space="preserve"> </w:t>
      </w:r>
    </w:p>
    <w:p w14:paraId="685E611E" w14:textId="77777777" w:rsidR="005A0DFF" w:rsidRPr="00A260ED" w:rsidRDefault="005A0DFF">
      <w:pPr>
        <w:rPr>
          <w:rFonts w:ascii="Times New Roman" w:hAnsi="Times New Roman"/>
        </w:rPr>
      </w:pPr>
    </w:p>
    <w:sectPr w:rsidR="005A0DFF" w:rsidRPr="00A260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EAB05" w14:textId="77777777" w:rsidR="00651D2E" w:rsidRDefault="00651D2E" w:rsidP="00B6112F">
      <w:pPr>
        <w:spacing w:after="0" w:line="240" w:lineRule="auto"/>
      </w:pPr>
      <w:r>
        <w:separator/>
      </w:r>
    </w:p>
  </w:endnote>
  <w:endnote w:type="continuationSeparator" w:id="0">
    <w:p w14:paraId="2C240C81" w14:textId="77777777" w:rsidR="00651D2E" w:rsidRDefault="00651D2E" w:rsidP="00B6112F">
      <w:pPr>
        <w:spacing w:after="0" w:line="240" w:lineRule="auto"/>
      </w:pPr>
      <w:r>
        <w:continuationSeparator/>
      </w:r>
    </w:p>
  </w:endnote>
  <w:endnote w:type="continuationNotice" w:id="1">
    <w:p w14:paraId="73F8C287" w14:textId="77777777" w:rsidR="00651D2E" w:rsidRDefault="00651D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Bold">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91A09" w14:textId="77777777" w:rsidR="00A260ED" w:rsidRDefault="00A26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136790"/>
      <w:docPartObj>
        <w:docPartGallery w:val="Page Numbers (Bottom of Page)"/>
        <w:docPartUnique/>
      </w:docPartObj>
    </w:sdtPr>
    <w:sdtEndPr>
      <w:rPr>
        <w:noProof/>
      </w:rPr>
    </w:sdtEndPr>
    <w:sdtContent>
      <w:p w14:paraId="5F47B165" w14:textId="382CE142" w:rsidR="00A260ED" w:rsidRDefault="00A260ED">
        <w:pPr>
          <w:pStyle w:val="Footer"/>
          <w:jc w:val="center"/>
        </w:pPr>
        <w:r>
          <w:fldChar w:fldCharType="begin"/>
        </w:r>
        <w:r>
          <w:instrText xml:space="preserve"> PAGE   \* MERGEFORMAT </w:instrText>
        </w:r>
        <w:r>
          <w:fldChar w:fldCharType="separate"/>
        </w:r>
        <w:r w:rsidR="007F720C">
          <w:rPr>
            <w:noProof/>
          </w:rPr>
          <w:t>1</w:t>
        </w:r>
        <w:r>
          <w:rPr>
            <w:noProof/>
          </w:rPr>
          <w:fldChar w:fldCharType="end"/>
        </w:r>
      </w:p>
    </w:sdtContent>
  </w:sdt>
  <w:p w14:paraId="08FF707A" w14:textId="30C70CED" w:rsidR="00EB2A24" w:rsidRPr="00A260ED" w:rsidRDefault="00EB2A24" w:rsidP="00341BD9">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60844" w14:textId="77777777" w:rsidR="00A260ED" w:rsidRDefault="00A2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21945" w14:textId="77777777" w:rsidR="00651D2E" w:rsidRDefault="00651D2E" w:rsidP="00B6112F">
      <w:pPr>
        <w:spacing w:after="0" w:line="240" w:lineRule="auto"/>
      </w:pPr>
      <w:r>
        <w:separator/>
      </w:r>
    </w:p>
  </w:footnote>
  <w:footnote w:type="continuationSeparator" w:id="0">
    <w:p w14:paraId="5B229E90" w14:textId="77777777" w:rsidR="00651D2E" w:rsidRDefault="00651D2E" w:rsidP="00B6112F">
      <w:pPr>
        <w:spacing w:after="0" w:line="240" w:lineRule="auto"/>
      </w:pPr>
      <w:r>
        <w:continuationSeparator/>
      </w:r>
    </w:p>
  </w:footnote>
  <w:footnote w:type="continuationNotice" w:id="1">
    <w:p w14:paraId="12C521F2" w14:textId="77777777" w:rsidR="00651D2E" w:rsidRDefault="00651D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D30F9" w14:textId="77777777" w:rsidR="00A260ED" w:rsidRDefault="00A26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C1C48" w14:textId="720AFF90" w:rsidR="00EB2A24" w:rsidRPr="00341BD9" w:rsidRDefault="008A6B20" w:rsidP="00341BD9">
    <w:pPr>
      <w:tabs>
        <w:tab w:val="center" w:pos="4321"/>
        <w:tab w:val="right" w:pos="8647"/>
      </w:tabs>
      <w:spacing w:after="0" w:line="240" w:lineRule="auto"/>
      <w:rPr>
        <w:rFonts w:ascii="Times New Roman" w:eastAsia="Times New Roman" w:hAnsi="Times New Roman" w:cs="Times New Roman"/>
        <w:sz w:val="21"/>
        <w:szCs w:val="21"/>
        <w:lang w:eastAsia="ja-JP"/>
      </w:rPr>
    </w:pPr>
    <w:r>
      <w:rPr>
        <w:rFonts w:ascii="Times New Roman" w:eastAsia="Times New Roman" w:hAnsi="Times New Roman" w:cs="Times New Roman"/>
        <w:sz w:val="21"/>
        <w:szCs w:val="21"/>
        <w:lang w:eastAsia="ja-JP"/>
      </w:rPr>
      <w:t>Jan 2021</w:t>
    </w:r>
    <w:r w:rsidR="00EB2A24" w:rsidRPr="00341BD9">
      <w:rPr>
        <w:rFonts w:ascii="Times New Roman" w:eastAsia="Times New Roman" w:hAnsi="Times New Roman" w:cs="Times New Roman"/>
        <w:sz w:val="21"/>
        <w:szCs w:val="21"/>
        <w:lang w:eastAsia="ja-JP"/>
      </w:rPr>
      <w:tab/>
    </w:r>
    <w:r w:rsidR="00EB2A24" w:rsidRPr="00341BD9">
      <w:rPr>
        <w:rFonts w:ascii="Times New Roman" w:eastAsia="Times New Roman" w:hAnsi="Times New Roman" w:cs="Times New Roman"/>
        <w:sz w:val="21"/>
        <w:szCs w:val="21"/>
        <w:lang w:eastAsia="ja-JP"/>
      </w:rPr>
      <w:tab/>
      <w:t>Product Information GCC</w:t>
    </w:r>
  </w:p>
  <w:p w14:paraId="62D5B086" w14:textId="3FA3F52A" w:rsidR="00D56997" w:rsidRPr="00D56997" w:rsidRDefault="00A260ED" w:rsidP="00D56997">
    <w:pPr>
      <w:pStyle w:val="Header"/>
      <w:rPr>
        <w:rFonts w:ascii="Times New Roman" w:eastAsia="Times New Roman" w:hAnsi="Times New Roman" w:cs="Times New Roman"/>
        <w:sz w:val="21"/>
        <w:szCs w:val="21"/>
        <w:lang w:eastAsia="de-DE"/>
      </w:rPr>
    </w:pPr>
    <w:r>
      <w:rPr>
        <w:rFonts w:ascii="Times New Roman" w:eastAsia="Times New Roman" w:hAnsi="Times New Roman" w:cs="Times New Roman"/>
        <w:noProof/>
        <w:sz w:val="21"/>
        <w:szCs w:val="21"/>
        <w:lang w:eastAsia="en-US"/>
      </w:rPr>
      <mc:AlternateContent>
        <mc:Choice Requires="wps">
          <w:drawing>
            <wp:anchor distT="0" distB="0" distL="114300" distR="114300" simplePos="0" relativeHeight="251659264" behindDoc="0" locked="0" layoutInCell="1" allowOverlap="1" wp14:anchorId="26C3C035" wp14:editId="4E3049EB">
              <wp:simplePos x="0" y="0"/>
              <wp:positionH relativeFrom="column">
                <wp:posOffset>-1</wp:posOffset>
              </wp:positionH>
              <wp:positionV relativeFrom="paragraph">
                <wp:posOffset>189865</wp:posOffset>
              </wp:positionV>
              <wp:extent cx="59150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8501F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95pt" to="465.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" strokecolor="black [3200]" strokeweight=".5pt">
              <v:stroke joinstyle="miter"/>
            </v:line>
          </w:pict>
        </mc:Fallback>
      </mc:AlternateContent>
    </w:r>
    <w:r w:rsidR="00EB2A24" w:rsidRPr="00341BD9">
      <w:rPr>
        <w:rFonts w:ascii="Times New Roman" w:eastAsia="Times New Roman" w:hAnsi="Times New Roman" w:cs="Times New Roman"/>
        <w:sz w:val="21"/>
        <w:szCs w:val="21"/>
        <w:lang w:eastAsia="de-DE"/>
      </w:rPr>
      <w:tab/>
      <w:t xml:space="preserve">                                                                                                              </w:t>
    </w:r>
    <w:r w:rsidR="007F720C">
      <w:rPr>
        <w:rFonts w:ascii="Times New Roman" w:eastAsia="Times New Roman" w:hAnsi="Times New Roman" w:cs="Times New Roman"/>
        <w:sz w:val="21"/>
        <w:szCs w:val="21"/>
        <w:lang w:eastAsia="de-DE"/>
      </w:rPr>
      <w:t>Gazyvaro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A6A09" w14:textId="77777777" w:rsidR="00A260ED" w:rsidRDefault="00A26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21FA9"/>
    <w:multiLevelType w:val="hybridMultilevel"/>
    <w:tmpl w:val="B884530C"/>
    <w:lvl w:ilvl="0" w:tplc="7C22AB4E">
      <w:start w:val="1"/>
      <w:numFmt w:val="decimal"/>
      <w:pStyle w:val="T1"/>
      <w:lvlText w:val="Table %1."/>
      <w:lvlJc w:val="left"/>
      <w:pPr>
        <w:tabs>
          <w:tab w:val="num" w:pos="1710"/>
        </w:tabs>
        <w:ind w:left="1710" w:hanging="1080"/>
      </w:pPr>
      <w:rPr>
        <w:rFonts w:cs="Times New Roman" w:hint="default"/>
      </w:rPr>
    </w:lvl>
    <w:lvl w:ilvl="1" w:tplc="04090019">
      <w:start w:val="1"/>
      <w:numFmt w:val="lowerLetter"/>
      <w:lvlText w:val="%2."/>
      <w:lvlJc w:val="left"/>
      <w:pPr>
        <w:tabs>
          <w:tab w:val="num" w:pos="2070"/>
        </w:tabs>
        <w:ind w:left="2070" w:hanging="360"/>
      </w:pPr>
      <w:rPr>
        <w:rFonts w:cs="Times New Roman"/>
      </w:rPr>
    </w:lvl>
    <w:lvl w:ilvl="2" w:tplc="0409001B">
      <w:start w:val="1"/>
      <w:numFmt w:val="lowerRoman"/>
      <w:lvlText w:val="%3."/>
      <w:lvlJc w:val="right"/>
      <w:pPr>
        <w:tabs>
          <w:tab w:val="num" w:pos="2790"/>
        </w:tabs>
        <w:ind w:left="2790" w:hanging="180"/>
      </w:pPr>
      <w:rPr>
        <w:rFonts w:cs="Times New Roman"/>
      </w:rPr>
    </w:lvl>
    <w:lvl w:ilvl="3" w:tplc="0409000F">
      <w:start w:val="1"/>
      <w:numFmt w:val="decimal"/>
      <w:lvlText w:val="%4."/>
      <w:lvlJc w:val="left"/>
      <w:pPr>
        <w:tabs>
          <w:tab w:val="num" w:pos="3510"/>
        </w:tabs>
        <w:ind w:left="3510" w:hanging="360"/>
      </w:pPr>
      <w:rPr>
        <w:rFonts w:cs="Times New Roman"/>
      </w:rPr>
    </w:lvl>
    <w:lvl w:ilvl="4" w:tplc="04090019">
      <w:start w:val="1"/>
      <w:numFmt w:val="lowerLetter"/>
      <w:lvlText w:val="%5."/>
      <w:lvlJc w:val="left"/>
      <w:pPr>
        <w:tabs>
          <w:tab w:val="num" w:pos="4230"/>
        </w:tabs>
        <w:ind w:left="4230" w:hanging="360"/>
      </w:pPr>
      <w:rPr>
        <w:rFonts w:cs="Times New Roman"/>
      </w:rPr>
    </w:lvl>
    <w:lvl w:ilvl="5" w:tplc="0409001B">
      <w:start w:val="1"/>
      <w:numFmt w:val="lowerRoman"/>
      <w:lvlText w:val="%6."/>
      <w:lvlJc w:val="right"/>
      <w:pPr>
        <w:tabs>
          <w:tab w:val="num" w:pos="4950"/>
        </w:tabs>
        <w:ind w:left="4950" w:hanging="180"/>
      </w:pPr>
      <w:rPr>
        <w:rFonts w:cs="Times New Roman"/>
      </w:rPr>
    </w:lvl>
    <w:lvl w:ilvl="6" w:tplc="0409000F">
      <w:start w:val="1"/>
      <w:numFmt w:val="decimal"/>
      <w:lvlText w:val="%7."/>
      <w:lvlJc w:val="left"/>
      <w:pPr>
        <w:tabs>
          <w:tab w:val="num" w:pos="5670"/>
        </w:tabs>
        <w:ind w:left="5670" w:hanging="360"/>
      </w:pPr>
      <w:rPr>
        <w:rFonts w:cs="Times New Roman"/>
      </w:rPr>
    </w:lvl>
    <w:lvl w:ilvl="7" w:tplc="04090019">
      <w:start w:val="1"/>
      <w:numFmt w:val="lowerLetter"/>
      <w:lvlText w:val="%8."/>
      <w:lvlJc w:val="left"/>
      <w:pPr>
        <w:tabs>
          <w:tab w:val="num" w:pos="6390"/>
        </w:tabs>
        <w:ind w:left="6390" w:hanging="360"/>
      </w:pPr>
      <w:rPr>
        <w:rFonts w:cs="Times New Roman"/>
      </w:rPr>
    </w:lvl>
    <w:lvl w:ilvl="8" w:tplc="0409001B">
      <w:start w:val="1"/>
      <w:numFmt w:val="lowerRoman"/>
      <w:lvlText w:val="%9."/>
      <w:lvlJc w:val="right"/>
      <w:pPr>
        <w:tabs>
          <w:tab w:val="num" w:pos="7110"/>
        </w:tabs>
        <w:ind w:left="7110" w:hanging="180"/>
      </w:pPr>
      <w:rPr>
        <w:rFonts w:cs="Times New Roman"/>
      </w:rPr>
    </w:lvl>
  </w:abstractNum>
  <w:abstractNum w:abstractNumId="1" w15:restartNumberingAfterBreak="0">
    <w:nsid w:val="3B172F2E"/>
    <w:multiLevelType w:val="hybridMultilevel"/>
    <w:tmpl w:val="6B2A9E6C"/>
    <w:lvl w:ilvl="0" w:tplc="59F8F0E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101F96"/>
    <w:multiLevelType w:val="multilevel"/>
    <w:tmpl w:val="B1CC7726"/>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701"/>
        </w:tabs>
        <w:ind w:left="1701" w:hanging="1701"/>
      </w:pPr>
      <w:rPr>
        <w:rFonts w:hint="default"/>
      </w:rPr>
    </w:lvl>
    <w:lvl w:ilvl="5">
      <w:start w:val="1"/>
      <w:numFmt w:val="decimal"/>
      <w:pStyle w:val="Heading6"/>
      <w:lvlText w:val="%1.%2.%3.%4.%5.%6"/>
      <w:lvlJc w:val="left"/>
      <w:pPr>
        <w:tabs>
          <w:tab w:val="num" w:pos="1701"/>
        </w:tabs>
        <w:ind w:left="1701" w:hanging="1701"/>
      </w:pPr>
      <w:rPr>
        <w:rFonts w:hint="default"/>
      </w:rPr>
    </w:lvl>
    <w:lvl w:ilvl="6">
      <w:start w:val="1"/>
      <w:numFmt w:val="decimal"/>
      <w:pStyle w:val="Heading7"/>
      <w:lvlText w:val="%1.%2.%3.%4.%5.%6.%7"/>
      <w:lvlJc w:val="left"/>
      <w:pPr>
        <w:tabs>
          <w:tab w:val="num" w:pos="1701"/>
        </w:tabs>
        <w:ind w:left="1701" w:hanging="1701"/>
      </w:pPr>
      <w:rPr>
        <w:rFonts w:hint="default"/>
      </w:rPr>
    </w:lvl>
    <w:lvl w:ilvl="7">
      <w:start w:val="1"/>
      <w:numFmt w:val="decimal"/>
      <w:pStyle w:val="Heading8"/>
      <w:lvlText w:val="%1.%2.%3.%4.%5.%6.%7.%8"/>
      <w:lvlJc w:val="left"/>
      <w:pPr>
        <w:tabs>
          <w:tab w:val="num" w:pos="1701"/>
        </w:tabs>
        <w:ind w:left="1701" w:hanging="1701"/>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3" w15:restartNumberingAfterBreak="0">
    <w:nsid w:val="4F065550"/>
    <w:multiLevelType w:val="hybridMultilevel"/>
    <w:tmpl w:val="475AAF66"/>
    <w:lvl w:ilvl="0" w:tplc="59F8F0E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4978C8"/>
    <w:multiLevelType w:val="hybridMultilevel"/>
    <w:tmpl w:val="9C6E9B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83"/>
    <w:rsid w:val="00051C36"/>
    <w:rsid w:val="00120B0C"/>
    <w:rsid w:val="001234BF"/>
    <w:rsid w:val="00191ADC"/>
    <w:rsid w:val="001C23BB"/>
    <w:rsid w:val="001D3B41"/>
    <w:rsid w:val="00205A82"/>
    <w:rsid w:val="002C6E83"/>
    <w:rsid w:val="002F7032"/>
    <w:rsid w:val="00341BD9"/>
    <w:rsid w:val="003875FF"/>
    <w:rsid w:val="003B3A03"/>
    <w:rsid w:val="003D4499"/>
    <w:rsid w:val="00407487"/>
    <w:rsid w:val="004144B4"/>
    <w:rsid w:val="004362D6"/>
    <w:rsid w:val="004758BB"/>
    <w:rsid w:val="00513012"/>
    <w:rsid w:val="005155B6"/>
    <w:rsid w:val="00553A19"/>
    <w:rsid w:val="005A0DFF"/>
    <w:rsid w:val="005B6472"/>
    <w:rsid w:val="005C675E"/>
    <w:rsid w:val="00621AC4"/>
    <w:rsid w:val="006344E5"/>
    <w:rsid w:val="00651D2E"/>
    <w:rsid w:val="00680582"/>
    <w:rsid w:val="006A00A4"/>
    <w:rsid w:val="006B2240"/>
    <w:rsid w:val="006F527D"/>
    <w:rsid w:val="0070452B"/>
    <w:rsid w:val="007A70CF"/>
    <w:rsid w:val="007F720C"/>
    <w:rsid w:val="00830DE1"/>
    <w:rsid w:val="008869F1"/>
    <w:rsid w:val="00887AAF"/>
    <w:rsid w:val="008A6B20"/>
    <w:rsid w:val="00902A15"/>
    <w:rsid w:val="00993B5E"/>
    <w:rsid w:val="009B5CEB"/>
    <w:rsid w:val="00A03C76"/>
    <w:rsid w:val="00A0478D"/>
    <w:rsid w:val="00A25D63"/>
    <w:rsid w:val="00A260ED"/>
    <w:rsid w:val="00A34A3C"/>
    <w:rsid w:val="00A41088"/>
    <w:rsid w:val="00A4449C"/>
    <w:rsid w:val="00AD7B15"/>
    <w:rsid w:val="00B279C1"/>
    <w:rsid w:val="00B6112F"/>
    <w:rsid w:val="00BA3532"/>
    <w:rsid w:val="00BD3E92"/>
    <w:rsid w:val="00BE6D18"/>
    <w:rsid w:val="00C04197"/>
    <w:rsid w:val="00C2201A"/>
    <w:rsid w:val="00C2279C"/>
    <w:rsid w:val="00C620EB"/>
    <w:rsid w:val="00CB2599"/>
    <w:rsid w:val="00CC0160"/>
    <w:rsid w:val="00CD39EB"/>
    <w:rsid w:val="00D151AB"/>
    <w:rsid w:val="00D420A7"/>
    <w:rsid w:val="00D56997"/>
    <w:rsid w:val="00DA26AA"/>
    <w:rsid w:val="00DA7E08"/>
    <w:rsid w:val="00DF0220"/>
    <w:rsid w:val="00E40D50"/>
    <w:rsid w:val="00E61F5E"/>
    <w:rsid w:val="00E67933"/>
    <w:rsid w:val="00E86917"/>
    <w:rsid w:val="00E964BA"/>
    <w:rsid w:val="00EB2A24"/>
    <w:rsid w:val="00F3691F"/>
    <w:rsid w:val="00F37E87"/>
    <w:rsid w:val="00F42A24"/>
    <w:rsid w:val="00FC2D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A69057"/>
  <w15:chartTrackingRefBased/>
  <w15:docId w15:val="{BB7107A8-A9D2-4A1F-9957-B91817BF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engXi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49C"/>
    <w:pPr>
      <w:spacing w:after="160" w:line="259" w:lineRule="auto"/>
    </w:pPr>
    <w:rPr>
      <w:sz w:val="22"/>
      <w:szCs w:val="22"/>
      <w:lang w:eastAsia="zh-CN"/>
    </w:rPr>
  </w:style>
  <w:style w:type="paragraph" w:styleId="Heading1">
    <w:name w:val="heading 1"/>
    <w:aliases w:val="Heading 11,Lv1,Part,Titol 1,Titre 11,h1,head1,hl,titre 1"/>
    <w:basedOn w:val="Normal"/>
    <w:next w:val="TextTi12"/>
    <w:link w:val="Heading1Char"/>
    <w:qFormat/>
    <w:rsid w:val="00B6112F"/>
    <w:pPr>
      <w:keepNext/>
      <w:numPr>
        <w:numId w:val="1"/>
      </w:numPr>
      <w:spacing w:before="113" w:after="57" w:line="280" w:lineRule="atLeast"/>
      <w:outlineLvl w:val="0"/>
    </w:pPr>
    <w:rPr>
      <w:rFonts w:ascii="Arial" w:eastAsia="Times New Roman" w:hAnsi="Arial"/>
      <w:b/>
      <w:bCs/>
      <w:smallCaps/>
      <w:sz w:val="28"/>
      <w:szCs w:val="28"/>
      <w:lang w:eastAsia="de-DE"/>
    </w:rPr>
  </w:style>
  <w:style w:type="paragraph" w:styleId="Heading2">
    <w:name w:val="heading 2"/>
    <w:basedOn w:val="Normal"/>
    <w:next w:val="TextTi12"/>
    <w:link w:val="Heading2Char"/>
    <w:qFormat/>
    <w:rsid w:val="00B6112F"/>
    <w:pPr>
      <w:keepNext/>
      <w:numPr>
        <w:ilvl w:val="1"/>
        <w:numId w:val="1"/>
      </w:numPr>
      <w:spacing w:before="113" w:after="57" w:line="280" w:lineRule="atLeast"/>
      <w:outlineLvl w:val="1"/>
    </w:pPr>
    <w:rPr>
      <w:rFonts w:ascii="Arial" w:eastAsia="Times New Roman" w:hAnsi="Arial"/>
      <w:b/>
      <w:bCs/>
      <w:iCs/>
      <w:sz w:val="26"/>
      <w:szCs w:val="28"/>
      <w:lang w:eastAsia="de-DE"/>
    </w:rPr>
  </w:style>
  <w:style w:type="paragraph" w:styleId="Heading3">
    <w:name w:val="heading 3"/>
    <w:basedOn w:val="Normal"/>
    <w:next w:val="TextTi12"/>
    <w:link w:val="Heading3Char"/>
    <w:qFormat/>
    <w:rsid w:val="00B6112F"/>
    <w:pPr>
      <w:keepNext/>
      <w:numPr>
        <w:ilvl w:val="2"/>
        <w:numId w:val="1"/>
      </w:numPr>
      <w:spacing w:before="113" w:after="57" w:line="280" w:lineRule="atLeast"/>
      <w:outlineLvl w:val="2"/>
    </w:pPr>
    <w:rPr>
      <w:rFonts w:ascii="Arial" w:eastAsia="Times New Roman" w:hAnsi="Arial"/>
      <w:b/>
      <w:bCs/>
      <w:sz w:val="24"/>
      <w:szCs w:val="26"/>
      <w:lang w:eastAsia="de-DE"/>
    </w:rPr>
  </w:style>
  <w:style w:type="paragraph" w:styleId="Heading4">
    <w:name w:val="heading 4"/>
    <w:basedOn w:val="Normal"/>
    <w:next w:val="TextTi12"/>
    <w:link w:val="Heading4Char"/>
    <w:qFormat/>
    <w:rsid w:val="00B6112F"/>
    <w:pPr>
      <w:keepNext/>
      <w:numPr>
        <w:ilvl w:val="3"/>
        <w:numId w:val="1"/>
      </w:numPr>
      <w:spacing w:before="113" w:after="57" w:line="280" w:lineRule="atLeast"/>
      <w:outlineLvl w:val="3"/>
    </w:pPr>
    <w:rPr>
      <w:rFonts w:ascii="Arial" w:eastAsia="Times New Roman" w:hAnsi="Arial" w:cs="Times New Roman"/>
      <w:b/>
      <w:bCs/>
      <w:i/>
      <w:sz w:val="24"/>
      <w:szCs w:val="28"/>
      <w:lang w:eastAsia="de-DE"/>
    </w:rPr>
  </w:style>
  <w:style w:type="paragraph" w:styleId="Heading5">
    <w:name w:val="heading 5"/>
    <w:basedOn w:val="Normal"/>
    <w:next w:val="TextTi12"/>
    <w:link w:val="Heading5Char"/>
    <w:qFormat/>
    <w:rsid w:val="00B6112F"/>
    <w:pPr>
      <w:keepNext/>
      <w:numPr>
        <w:ilvl w:val="4"/>
        <w:numId w:val="1"/>
      </w:numPr>
      <w:spacing w:before="113" w:after="57" w:line="280" w:lineRule="atLeast"/>
      <w:outlineLvl w:val="4"/>
    </w:pPr>
    <w:rPr>
      <w:rFonts w:ascii="Arial" w:eastAsia="Times New Roman" w:hAnsi="Arial" w:cs="Times New Roman"/>
      <w:b/>
      <w:bCs/>
      <w:i/>
      <w:iCs/>
      <w:sz w:val="24"/>
      <w:szCs w:val="26"/>
      <w:lang w:eastAsia="de-DE"/>
    </w:rPr>
  </w:style>
  <w:style w:type="paragraph" w:styleId="Heading6">
    <w:name w:val="heading 6"/>
    <w:basedOn w:val="Normal"/>
    <w:next w:val="TextTi12"/>
    <w:link w:val="Heading6Char"/>
    <w:qFormat/>
    <w:rsid w:val="00B6112F"/>
    <w:pPr>
      <w:keepNext/>
      <w:numPr>
        <w:ilvl w:val="5"/>
        <w:numId w:val="1"/>
      </w:numPr>
      <w:spacing w:before="113" w:after="57" w:line="280" w:lineRule="atLeast"/>
      <w:outlineLvl w:val="5"/>
    </w:pPr>
    <w:rPr>
      <w:rFonts w:ascii="Arial" w:eastAsia="Times New Roman" w:hAnsi="Arial" w:cs="Times New Roman"/>
      <w:b/>
      <w:i/>
      <w:sz w:val="24"/>
      <w:szCs w:val="24"/>
      <w:lang w:eastAsia="de-DE"/>
    </w:rPr>
  </w:style>
  <w:style w:type="paragraph" w:styleId="Heading7">
    <w:name w:val="heading 7"/>
    <w:basedOn w:val="Normal"/>
    <w:next w:val="TextTi12"/>
    <w:link w:val="Heading7Char"/>
    <w:qFormat/>
    <w:rsid w:val="00B6112F"/>
    <w:pPr>
      <w:keepNext/>
      <w:numPr>
        <w:ilvl w:val="6"/>
        <w:numId w:val="1"/>
      </w:numPr>
      <w:spacing w:before="113" w:after="57" w:line="280" w:lineRule="atLeast"/>
      <w:outlineLvl w:val="6"/>
    </w:pPr>
    <w:rPr>
      <w:rFonts w:ascii="Arial" w:eastAsia="Times New Roman" w:hAnsi="Arial" w:cs="Times New Roman"/>
      <w:b/>
      <w:i/>
      <w:sz w:val="24"/>
      <w:szCs w:val="24"/>
      <w:lang w:eastAsia="de-DE"/>
    </w:rPr>
  </w:style>
  <w:style w:type="paragraph" w:styleId="Heading8">
    <w:name w:val="heading 8"/>
    <w:basedOn w:val="Normal"/>
    <w:next w:val="TextTi12"/>
    <w:link w:val="Heading8Char"/>
    <w:qFormat/>
    <w:rsid w:val="00B6112F"/>
    <w:pPr>
      <w:keepNext/>
      <w:numPr>
        <w:ilvl w:val="7"/>
        <w:numId w:val="1"/>
      </w:numPr>
      <w:spacing w:before="113" w:after="57" w:line="280" w:lineRule="atLeast"/>
      <w:outlineLvl w:val="7"/>
    </w:pPr>
    <w:rPr>
      <w:rFonts w:ascii="Arial" w:eastAsia="Times New Roman" w:hAnsi="Arial" w:cs="Times New Roman"/>
      <w:b/>
      <w:i/>
      <w:iCs/>
      <w:sz w:val="24"/>
      <w:szCs w:val="24"/>
      <w:lang w:eastAsia="de-DE"/>
    </w:rPr>
  </w:style>
  <w:style w:type="paragraph" w:styleId="Heading9">
    <w:name w:val="heading 9"/>
    <w:basedOn w:val="Normal"/>
    <w:next w:val="TextTi12"/>
    <w:link w:val="Heading9Char"/>
    <w:qFormat/>
    <w:rsid w:val="00B6112F"/>
    <w:pPr>
      <w:keepNext/>
      <w:numPr>
        <w:ilvl w:val="8"/>
        <w:numId w:val="1"/>
      </w:numPr>
      <w:spacing w:before="113" w:after="57" w:line="280" w:lineRule="atLeast"/>
      <w:outlineLvl w:val="8"/>
    </w:pPr>
    <w:rPr>
      <w:rFonts w:ascii="Arial" w:eastAsia="Times New Roman" w:hAnsi="Arial"/>
      <w:b/>
      <w:i/>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12F"/>
  </w:style>
  <w:style w:type="paragraph" w:styleId="Footer">
    <w:name w:val="footer"/>
    <w:basedOn w:val="Normal"/>
    <w:link w:val="FooterChar"/>
    <w:uiPriority w:val="99"/>
    <w:unhideWhenUsed/>
    <w:rsid w:val="00B61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12F"/>
  </w:style>
  <w:style w:type="character" w:customStyle="1" w:styleId="Heading1Char">
    <w:name w:val="Heading 1 Char"/>
    <w:aliases w:val="Heading 11 Char,Lv1 Char,Part Char,Titol 1 Char,Titre 11 Char,h1 Char,head1 Char,hl Char,titre 1 Char"/>
    <w:link w:val="Heading1"/>
    <w:rsid w:val="00B6112F"/>
    <w:rPr>
      <w:rFonts w:ascii="Arial" w:eastAsia="Times New Roman" w:hAnsi="Arial" w:cs="Arial"/>
      <w:b/>
      <w:bCs/>
      <w:smallCaps/>
      <w:sz w:val="28"/>
      <w:szCs w:val="28"/>
      <w:lang w:eastAsia="de-DE"/>
    </w:rPr>
  </w:style>
  <w:style w:type="character" w:customStyle="1" w:styleId="Heading2Char">
    <w:name w:val="Heading 2 Char"/>
    <w:link w:val="Heading2"/>
    <w:uiPriority w:val="9"/>
    <w:rsid w:val="00B6112F"/>
    <w:rPr>
      <w:rFonts w:ascii="Arial" w:eastAsia="Times New Roman" w:hAnsi="Arial" w:cs="Arial"/>
      <w:b/>
      <w:bCs/>
      <w:iCs/>
      <w:sz w:val="26"/>
      <w:szCs w:val="28"/>
      <w:lang w:eastAsia="de-DE"/>
    </w:rPr>
  </w:style>
  <w:style w:type="character" w:customStyle="1" w:styleId="Heading3Char">
    <w:name w:val="Heading 3 Char"/>
    <w:link w:val="Heading3"/>
    <w:rsid w:val="00B6112F"/>
    <w:rPr>
      <w:rFonts w:ascii="Arial" w:eastAsia="Times New Roman" w:hAnsi="Arial" w:cs="Arial"/>
      <w:b/>
      <w:bCs/>
      <w:sz w:val="24"/>
      <w:szCs w:val="26"/>
      <w:lang w:eastAsia="de-DE"/>
    </w:rPr>
  </w:style>
  <w:style w:type="character" w:customStyle="1" w:styleId="Heading4Char">
    <w:name w:val="Heading 4 Char"/>
    <w:link w:val="Heading4"/>
    <w:rsid w:val="00B6112F"/>
    <w:rPr>
      <w:rFonts w:ascii="Arial" w:eastAsia="Times New Roman" w:hAnsi="Arial" w:cs="Times New Roman"/>
      <w:b/>
      <w:bCs/>
      <w:i/>
      <w:sz w:val="24"/>
      <w:szCs w:val="28"/>
      <w:lang w:eastAsia="de-DE"/>
    </w:rPr>
  </w:style>
  <w:style w:type="character" w:customStyle="1" w:styleId="Heading5Char">
    <w:name w:val="Heading 5 Char"/>
    <w:link w:val="Heading5"/>
    <w:rsid w:val="00B6112F"/>
    <w:rPr>
      <w:rFonts w:ascii="Arial" w:eastAsia="Times New Roman" w:hAnsi="Arial" w:cs="Times New Roman"/>
      <w:b/>
      <w:bCs/>
      <w:i/>
      <w:iCs/>
      <w:sz w:val="24"/>
      <w:szCs w:val="26"/>
      <w:lang w:eastAsia="de-DE"/>
    </w:rPr>
  </w:style>
  <w:style w:type="character" w:customStyle="1" w:styleId="Heading6Char">
    <w:name w:val="Heading 6 Char"/>
    <w:link w:val="Heading6"/>
    <w:rsid w:val="00B6112F"/>
    <w:rPr>
      <w:rFonts w:ascii="Arial" w:eastAsia="Times New Roman" w:hAnsi="Arial" w:cs="Times New Roman"/>
      <w:b/>
      <w:i/>
      <w:sz w:val="24"/>
      <w:szCs w:val="24"/>
      <w:lang w:eastAsia="de-DE"/>
    </w:rPr>
  </w:style>
  <w:style w:type="character" w:customStyle="1" w:styleId="Heading7Char">
    <w:name w:val="Heading 7 Char"/>
    <w:link w:val="Heading7"/>
    <w:rsid w:val="00B6112F"/>
    <w:rPr>
      <w:rFonts w:ascii="Arial" w:eastAsia="Times New Roman" w:hAnsi="Arial" w:cs="Times New Roman"/>
      <w:b/>
      <w:i/>
      <w:sz w:val="24"/>
      <w:szCs w:val="24"/>
      <w:lang w:eastAsia="de-DE"/>
    </w:rPr>
  </w:style>
  <w:style w:type="character" w:customStyle="1" w:styleId="Heading8Char">
    <w:name w:val="Heading 8 Char"/>
    <w:link w:val="Heading8"/>
    <w:rsid w:val="00B6112F"/>
    <w:rPr>
      <w:rFonts w:ascii="Arial" w:eastAsia="Times New Roman" w:hAnsi="Arial" w:cs="Times New Roman"/>
      <w:b/>
      <w:i/>
      <w:iCs/>
      <w:sz w:val="24"/>
      <w:szCs w:val="24"/>
      <w:lang w:eastAsia="de-DE"/>
    </w:rPr>
  </w:style>
  <w:style w:type="character" w:customStyle="1" w:styleId="Heading9Char">
    <w:name w:val="Heading 9 Char"/>
    <w:link w:val="Heading9"/>
    <w:rsid w:val="00B6112F"/>
    <w:rPr>
      <w:rFonts w:ascii="Arial" w:eastAsia="Times New Roman" w:hAnsi="Arial" w:cs="Arial"/>
      <w:b/>
      <w:i/>
      <w:sz w:val="24"/>
      <w:lang w:eastAsia="de-DE"/>
    </w:rPr>
  </w:style>
  <w:style w:type="paragraph" w:customStyle="1" w:styleId="TextTi12">
    <w:name w:val="Text:Ti12"/>
    <w:basedOn w:val="Normal"/>
    <w:link w:val="TextTi12Char1"/>
    <w:rsid w:val="00B6112F"/>
    <w:pPr>
      <w:spacing w:after="170" w:line="280" w:lineRule="atLeast"/>
      <w:jc w:val="both"/>
    </w:pPr>
    <w:rPr>
      <w:rFonts w:ascii="Times New Roman" w:eastAsia="Times New Roman" w:hAnsi="Times New Roman" w:cs="Times New Roman"/>
      <w:sz w:val="24"/>
      <w:szCs w:val="24"/>
      <w:lang w:eastAsia="de-DE"/>
    </w:rPr>
  </w:style>
  <w:style w:type="paragraph" w:customStyle="1" w:styleId="J1">
    <w:name w:val="J1"/>
    <w:basedOn w:val="Normal"/>
    <w:rsid w:val="00B6112F"/>
    <w:pPr>
      <w:spacing w:before="60" w:after="0" w:line="240" w:lineRule="auto"/>
      <w:jc w:val="both"/>
    </w:pPr>
    <w:rPr>
      <w:rFonts w:ascii="Arial" w:eastAsia="Times New Roman" w:hAnsi="Arial"/>
      <w:lang w:val="en-GB" w:eastAsia="en-GB"/>
    </w:rPr>
  </w:style>
  <w:style w:type="paragraph" w:styleId="FootnoteText">
    <w:name w:val="footnote text"/>
    <w:basedOn w:val="Normal"/>
    <w:link w:val="FootnoteTextChar"/>
    <w:semiHidden/>
    <w:unhideWhenUsed/>
    <w:rsid w:val="00B6112F"/>
    <w:pPr>
      <w:spacing w:after="0" w:line="240" w:lineRule="auto"/>
    </w:pPr>
    <w:rPr>
      <w:rFonts w:ascii="Times New Roman" w:eastAsia="Times New Roman" w:hAnsi="Times New Roman" w:cs="Times New Roman"/>
      <w:sz w:val="20"/>
      <w:szCs w:val="20"/>
      <w:lang w:eastAsia="ja-JP"/>
    </w:rPr>
  </w:style>
  <w:style w:type="character" w:customStyle="1" w:styleId="FootnoteTextChar">
    <w:name w:val="Footnote Text Char"/>
    <w:link w:val="FootnoteText"/>
    <w:semiHidden/>
    <w:rsid w:val="00B6112F"/>
    <w:rPr>
      <w:rFonts w:ascii="Times New Roman" w:eastAsia="Times New Roman" w:hAnsi="Times New Roman" w:cs="Times New Roman"/>
      <w:sz w:val="20"/>
      <w:szCs w:val="20"/>
      <w:lang w:eastAsia="ja-JP"/>
    </w:rPr>
  </w:style>
  <w:style w:type="paragraph" w:customStyle="1" w:styleId="T1">
    <w:name w:val="T1"/>
    <w:basedOn w:val="J1"/>
    <w:rsid w:val="00B6112F"/>
    <w:pPr>
      <w:keepNext/>
      <w:keepLines/>
      <w:numPr>
        <w:numId w:val="2"/>
      </w:numPr>
      <w:spacing w:before="240" w:after="120"/>
      <w:jc w:val="left"/>
    </w:pPr>
    <w:rPr>
      <w:rFonts w:ascii="Arial Bold" w:eastAsia="MS Mincho" w:hAnsi="Arial Bold"/>
      <w:b/>
      <w:bCs/>
      <w:snapToGrid w:val="0"/>
      <w:lang w:eastAsia="ja-JP"/>
    </w:rPr>
  </w:style>
  <w:style w:type="paragraph" w:customStyle="1" w:styleId="J2">
    <w:name w:val="J2"/>
    <w:basedOn w:val="J1"/>
    <w:rsid w:val="00B6112F"/>
    <w:pPr>
      <w:spacing w:before="180"/>
    </w:pPr>
    <w:rPr>
      <w:rFonts w:eastAsia="MS Mincho"/>
      <w:snapToGrid w:val="0"/>
      <w:lang w:eastAsia="ja-JP"/>
    </w:rPr>
  </w:style>
  <w:style w:type="paragraph" w:customStyle="1" w:styleId="T2">
    <w:name w:val="T2"/>
    <w:basedOn w:val="T1"/>
    <w:rsid w:val="00B6112F"/>
    <w:pPr>
      <w:keepNext w:val="0"/>
      <w:keepLines w:val="0"/>
      <w:numPr>
        <w:numId w:val="0"/>
      </w:numPr>
      <w:spacing w:before="60" w:after="60"/>
    </w:pPr>
    <w:rPr>
      <w:rFonts w:ascii="Arial" w:hAnsi="Arial"/>
      <w:b w:val="0"/>
      <w:bCs w:val="0"/>
      <w:sz w:val="20"/>
      <w:szCs w:val="20"/>
    </w:rPr>
  </w:style>
  <w:style w:type="paragraph" w:customStyle="1" w:styleId="Heading2a">
    <w:name w:val="Heading 2a"/>
    <w:basedOn w:val="Heading2"/>
    <w:rsid w:val="00B6112F"/>
    <w:pPr>
      <w:keepLines/>
      <w:numPr>
        <w:ilvl w:val="0"/>
        <w:numId w:val="0"/>
      </w:numPr>
      <w:spacing w:before="60" w:after="0" w:line="240" w:lineRule="auto"/>
    </w:pPr>
    <w:rPr>
      <w:rFonts w:eastAsia="MS Mincho"/>
      <w:b w:val="0"/>
      <w:bCs w:val="0"/>
      <w:i/>
      <w:snapToGrid w:val="0"/>
      <w:sz w:val="22"/>
      <w:szCs w:val="22"/>
      <w:lang w:val="en-GB" w:eastAsia="ja-JP"/>
    </w:rPr>
  </w:style>
  <w:style w:type="paragraph" w:customStyle="1" w:styleId="Heading3a">
    <w:name w:val="Heading 3a"/>
    <w:basedOn w:val="Heading3"/>
    <w:qFormat/>
    <w:rsid w:val="00B6112F"/>
    <w:pPr>
      <w:numPr>
        <w:ilvl w:val="0"/>
        <w:numId w:val="0"/>
      </w:numPr>
      <w:spacing w:before="60" w:after="0" w:line="240" w:lineRule="auto"/>
    </w:pPr>
    <w:rPr>
      <w:rFonts w:eastAsia="MS Gothic"/>
      <w:b w:val="0"/>
      <w:bCs w:val="0"/>
      <w:snapToGrid w:val="0"/>
      <w:sz w:val="22"/>
      <w:szCs w:val="22"/>
      <w:lang w:val="en-GB" w:eastAsia="ja-JP" w:bidi="he-IL"/>
    </w:rPr>
  </w:style>
  <w:style w:type="character" w:styleId="FootnoteReference">
    <w:name w:val="footnote reference"/>
    <w:semiHidden/>
    <w:unhideWhenUsed/>
    <w:rsid w:val="00B6112F"/>
    <w:rPr>
      <w:vertAlign w:val="superscript"/>
    </w:rPr>
  </w:style>
  <w:style w:type="character" w:customStyle="1" w:styleId="TextTi12Char1">
    <w:name w:val="Text:Ti12 Char1"/>
    <w:link w:val="TextTi12"/>
    <w:rsid w:val="00B6112F"/>
    <w:rPr>
      <w:rFonts w:ascii="Times New Roman" w:eastAsia="Times New Roman" w:hAnsi="Times New Roman" w:cs="Times New Roman"/>
      <w:sz w:val="24"/>
      <w:szCs w:val="24"/>
      <w:lang w:eastAsia="de-DE"/>
    </w:rPr>
  </w:style>
  <w:style w:type="paragraph" w:customStyle="1" w:styleId="HdCentNoNum">
    <w:name w:val="Hd:CentNoNum"/>
    <w:basedOn w:val="Normal"/>
    <w:next w:val="TextTi12"/>
    <w:rsid w:val="00B6112F"/>
    <w:pPr>
      <w:keepNext/>
      <w:spacing w:before="113" w:after="57" w:line="280" w:lineRule="atLeast"/>
      <w:jc w:val="center"/>
    </w:pPr>
    <w:rPr>
      <w:rFonts w:ascii="Arial" w:eastAsia="Times New Roman" w:hAnsi="Arial" w:cs="Times New Roman"/>
      <w:b/>
      <w:caps/>
      <w:sz w:val="28"/>
      <w:szCs w:val="26"/>
      <w:lang w:eastAsia="de-DE"/>
    </w:rPr>
  </w:style>
  <w:style w:type="paragraph" w:customStyle="1" w:styleId="Text">
    <w:name w:val="Text"/>
    <w:basedOn w:val="Normal"/>
    <w:link w:val="TextChar"/>
    <w:rsid w:val="00B6112F"/>
    <w:pPr>
      <w:spacing w:before="60" w:after="0" w:line="240" w:lineRule="auto"/>
      <w:jc w:val="both"/>
    </w:pPr>
    <w:rPr>
      <w:rFonts w:ascii="Arial" w:eastAsia="Times New Roman" w:hAnsi="Arial" w:cs="Times New Roman"/>
      <w:szCs w:val="24"/>
      <w:lang w:val="de-DE" w:eastAsia="en-US"/>
    </w:rPr>
  </w:style>
  <w:style w:type="character" w:customStyle="1" w:styleId="TextChar">
    <w:name w:val="Text Char"/>
    <w:link w:val="Text"/>
    <w:rsid w:val="00B6112F"/>
    <w:rPr>
      <w:rFonts w:ascii="Arial" w:eastAsia="Times New Roman" w:hAnsi="Arial" w:cs="Times New Roman"/>
      <w:szCs w:val="24"/>
      <w:lang w:val="de-DE" w:eastAsia="en-US"/>
    </w:rPr>
  </w:style>
  <w:style w:type="paragraph" w:customStyle="1" w:styleId="Heading4a">
    <w:name w:val="Heading 4a"/>
    <w:basedOn w:val="Heading4"/>
    <w:qFormat/>
    <w:rsid w:val="00B6112F"/>
    <w:pPr>
      <w:keepLines/>
      <w:numPr>
        <w:ilvl w:val="0"/>
        <w:numId w:val="0"/>
      </w:numPr>
      <w:spacing w:before="120" w:after="0" w:line="240" w:lineRule="auto"/>
    </w:pPr>
    <w:rPr>
      <w:rFonts w:cs="Arial"/>
      <w:b w:val="0"/>
      <w:bCs w:val="0"/>
      <w:i w:val="0"/>
      <w:sz w:val="22"/>
      <w:lang w:val="en-GB" w:eastAsia="en-GB"/>
    </w:rPr>
  </w:style>
  <w:style w:type="paragraph" w:styleId="BalloonText">
    <w:name w:val="Balloon Text"/>
    <w:basedOn w:val="Normal"/>
    <w:link w:val="BalloonTextChar"/>
    <w:uiPriority w:val="99"/>
    <w:semiHidden/>
    <w:unhideWhenUsed/>
    <w:rsid w:val="00B6112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6112F"/>
    <w:rPr>
      <w:rFonts w:ascii="Segoe UI" w:hAnsi="Segoe UI" w:cs="Segoe UI"/>
      <w:sz w:val="18"/>
      <w:szCs w:val="18"/>
    </w:rPr>
  </w:style>
  <w:style w:type="paragraph" w:customStyle="1" w:styleId="BibliXrefAr9">
    <w:name w:val="BibliXref:Ar9"/>
    <w:basedOn w:val="Normal"/>
    <w:rsid w:val="00341BD9"/>
    <w:pPr>
      <w:spacing w:after="170" w:line="280" w:lineRule="atLeast"/>
    </w:pPr>
    <w:rPr>
      <w:rFonts w:ascii="Arial" w:eastAsia="Times New Roman" w:hAnsi="Arial" w:cs="Times New Roman"/>
      <w:b/>
      <w:sz w:val="18"/>
      <w:szCs w:val="24"/>
      <w:lang w:eastAsia="de-DE"/>
    </w:rPr>
  </w:style>
  <w:style w:type="paragraph" w:styleId="Revision">
    <w:name w:val="Revision"/>
    <w:hidden/>
    <w:uiPriority w:val="99"/>
    <w:semiHidden/>
    <w:rsid w:val="00A4449C"/>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DA39A-322B-493A-923B-3D171E08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8273</Words>
  <Characters>47159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55322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Tork, Heba {MWJD~Cairo}</dc:creator>
  <cp:keywords/>
  <dc:description/>
  <cp:lastModifiedBy>Afifi, Engy {MWJD~Cairo}</cp:lastModifiedBy>
  <cp:revision>6</cp:revision>
  <cp:lastPrinted>2021-04-11T16:12:00Z</cp:lastPrinted>
  <dcterms:created xsi:type="dcterms:W3CDTF">2021-04-07T10:26:00Z</dcterms:created>
  <dcterms:modified xsi:type="dcterms:W3CDTF">2021-06-06T13:07:00Z</dcterms:modified>
</cp:coreProperties>
</file>