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9E2FB" w14:textId="77777777" w:rsidR="00AF2C5E" w:rsidRDefault="00AF2C5E" w:rsidP="004E4756">
      <w:pPr>
        <w:pStyle w:val="TextTi12"/>
        <w:rPr>
          <w:rFonts w:ascii="Times New Roman" w:hAnsi="Times New Roman"/>
          <w:b/>
          <w:sz w:val="44"/>
          <w:vertAlign w:val="superscript"/>
        </w:rPr>
      </w:pPr>
      <w:r>
        <w:rPr>
          <w:rFonts w:ascii="Times New Roman" w:hAnsi="Times New Roman"/>
          <w:b/>
          <w:sz w:val="44"/>
        </w:rPr>
        <w:t>Herceptin</w:t>
      </w:r>
      <w:r>
        <w:rPr>
          <w:rFonts w:ascii="Times New Roman" w:hAnsi="Times New Roman"/>
          <w:b/>
          <w:sz w:val="44"/>
          <w:vertAlign w:val="superscript"/>
        </w:rPr>
        <w:t>®</w:t>
      </w:r>
    </w:p>
    <w:p w14:paraId="1D256E2F" w14:textId="77777777" w:rsidR="00AF2C5E" w:rsidRDefault="00AF2C5E">
      <w:pPr>
        <w:pStyle w:val="TextTi12"/>
        <w:rPr>
          <w:rFonts w:ascii="Times New Roman" w:hAnsi="Times New Roman"/>
        </w:rPr>
      </w:pPr>
      <w:r>
        <w:rPr>
          <w:rFonts w:ascii="Times New Roman" w:hAnsi="Times New Roman"/>
        </w:rPr>
        <w:t>Trastuzumab</w:t>
      </w:r>
    </w:p>
    <w:p w14:paraId="4000C0FD" w14:textId="77777777" w:rsidR="00AF2C5E" w:rsidRDefault="00AF2C5E">
      <w:pPr>
        <w:pStyle w:val="TextTi12"/>
        <w:pBdr>
          <w:bottom w:val="single" w:sz="4" w:space="1" w:color="auto"/>
        </w:pBdr>
        <w:rPr>
          <w:rFonts w:ascii="Times New Roman" w:hAnsi="Times New Roman"/>
        </w:rPr>
      </w:pPr>
    </w:p>
    <w:p w14:paraId="77F8816C" w14:textId="77777777" w:rsidR="00AF2C5E" w:rsidRDefault="00AF2C5E">
      <w:pPr>
        <w:pStyle w:val="Heading1"/>
      </w:pPr>
      <w:r>
        <w:t>Composition</w:t>
      </w:r>
    </w:p>
    <w:p w14:paraId="138A126F" w14:textId="77777777" w:rsidR="00AF2C5E" w:rsidRDefault="00AF2C5E">
      <w:pPr>
        <w:pStyle w:val="Heading3a"/>
        <w:rPr>
          <w:iCs w:val="0"/>
        </w:rPr>
      </w:pPr>
      <w:r>
        <w:rPr>
          <w:iCs w:val="0"/>
        </w:rPr>
        <w:t>Active substances</w:t>
      </w:r>
    </w:p>
    <w:p w14:paraId="32F1EC17" w14:textId="77777777" w:rsidR="00AF2C5E" w:rsidRDefault="00AF2C5E">
      <w:pPr>
        <w:pStyle w:val="J1"/>
      </w:pPr>
      <w:r>
        <w:t>Trastuzumab (produced by recombinant DNA technology using CHO [Chinese hamster ovary] cells).</w:t>
      </w:r>
    </w:p>
    <w:p w14:paraId="05FAF7F0" w14:textId="77777777" w:rsidR="00AF2C5E" w:rsidRDefault="00AF2C5E">
      <w:pPr>
        <w:pStyle w:val="Heading3"/>
        <w:rPr>
          <w:iCs/>
        </w:rPr>
      </w:pPr>
      <w:r>
        <w:rPr>
          <w:iCs/>
        </w:rPr>
        <w:t>Excipients</w:t>
      </w:r>
    </w:p>
    <w:p w14:paraId="080673E7" w14:textId="77777777" w:rsidR="00AF2C5E" w:rsidRDefault="00AF2C5E">
      <w:pPr>
        <w:pStyle w:val="Heading4a"/>
        <w:rPr>
          <w:rFonts w:ascii="Times New Roman" w:hAnsi="Times New Roman" w:cs="Arial"/>
          <w:i/>
          <w:iCs w:val="0"/>
          <w:szCs w:val="24"/>
        </w:rPr>
      </w:pPr>
      <w:r>
        <w:rPr>
          <w:rFonts w:ascii="Times New Roman" w:hAnsi="Times New Roman" w:cs="Arial"/>
          <w:i/>
          <w:iCs w:val="0"/>
          <w:noProof/>
          <w:szCs w:val="24"/>
        </w:rPr>
        <w:t>Herceptin vial:</w:t>
      </w:r>
    </w:p>
    <w:p w14:paraId="7A9923DB" w14:textId="77777777" w:rsidR="00AF2C5E" w:rsidRDefault="00AF2C5E">
      <w:pPr>
        <w:pStyle w:val="J1"/>
      </w:pPr>
      <w:r>
        <w:t>L-Histidine hydrochloride monohydrate, L-histidine, α,α-trehalose dihydrate, polysorbate 20 (produced from genetically modified maize).</w:t>
      </w:r>
    </w:p>
    <w:p w14:paraId="60017893" w14:textId="77777777" w:rsidR="00AF2C5E" w:rsidRDefault="00AF2C5E">
      <w:pPr>
        <w:pStyle w:val="Heading4"/>
        <w:rPr>
          <w:rFonts w:ascii="Times New Roman" w:hAnsi="Times New Roman"/>
          <w:szCs w:val="24"/>
        </w:rPr>
      </w:pPr>
      <w:r>
        <w:rPr>
          <w:rFonts w:ascii="Times New Roman" w:hAnsi="Times New Roman"/>
          <w:noProof/>
          <w:szCs w:val="24"/>
        </w:rPr>
        <w:t>Vial with 20 ml of solvent (bacteriostatic water for injection):</w:t>
      </w:r>
    </w:p>
    <w:p w14:paraId="337B8E86" w14:textId="77777777" w:rsidR="00AF2C5E" w:rsidRDefault="00AF2C5E">
      <w:pPr>
        <w:pStyle w:val="J1"/>
      </w:pPr>
      <w:r>
        <w:t>Benzyl alcohol (E1519) (220 mg), water for injection.</w:t>
      </w:r>
    </w:p>
    <w:p w14:paraId="26176C78" w14:textId="77777777" w:rsidR="00AF2C5E" w:rsidRDefault="00AF2C5E">
      <w:pPr>
        <w:pStyle w:val="Heading1"/>
      </w:pPr>
      <w:r>
        <w:t>Pharmaceutical form and active substance quantity per unit</w:t>
      </w:r>
    </w:p>
    <w:p w14:paraId="6BA8FD80" w14:textId="77777777" w:rsidR="00AF2C5E" w:rsidRDefault="00AF2C5E">
      <w:pPr>
        <w:pStyle w:val="J1"/>
      </w:pPr>
      <w:r>
        <w:t>White powder for concentrate for solution for infusion</w:t>
      </w:r>
    </w:p>
    <w:p w14:paraId="4D120365" w14:textId="77777777" w:rsidR="00AF2C5E" w:rsidRDefault="00AF2C5E">
      <w:pPr>
        <w:pStyle w:val="J1"/>
      </w:pPr>
      <w:r>
        <w:t>Single-dose vials containing 150 mg trastuzumab.</w:t>
      </w:r>
    </w:p>
    <w:p w14:paraId="4719291C" w14:textId="77777777" w:rsidR="00AF2C5E" w:rsidRDefault="00AF2C5E">
      <w:pPr>
        <w:pStyle w:val="J1"/>
      </w:pPr>
      <w:r>
        <w:t>Multidose vials containing 440 mg trastuzumab.</w:t>
      </w:r>
    </w:p>
    <w:p w14:paraId="2B4AF4D5" w14:textId="77777777" w:rsidR="00AF2C5E" w:rsidRDefault="00AF2C5E">
      <w:pPr>
        <w:pStyle w:val="J1"/>
      </w:pPr>
      <w:r>
        <w:t>Reconstituted Herceptin concentrate contains 21 mg/ml trastuzumab.</w:t>
      </w:r>
    </w:p>
    <w:p w14:paraId="759F6B2A" w14:textId="77777777" w:rsidR="00AF2C5E" w:rsidRDefault="00AF2C5E">
      <w:pPr>
        <w:pStyle w:val="Heading1"/>
      </w:pPr>
      <w:r>
        <w:t>Indications/Uses</w:t>
      </w:r>
    </w:p>
    <w:p w14:paraId="7FDF17A6" w14:textId="77777777" w:rsidR="00AF2C5E" w:rsidRDefault="00AF2C5E">
      <w:pPr>
        <w:pStyle w:val="Heading3a"/>
        <w:rPr>
          <w:iCs w:val="0"/>
        </w:rPr>
      </w:pPr>
      <w:r>
        <w:rPr>
          <w:iCs w:val="0"/>
        </w:rPr>
        <w:t>Breast cancer</w:t>
      </w:r>
    </w:p>
    <w:p w14:paraId="2C9B4300" w14:textId="77777777" w:rsidR="00AF2C5E" w:rsidRDefault="00AF2C5E">
      <w:pPr>
        <w:pStyle w:val="J1"/>
      </w:pPr>
      <w:r>
        <w:t xml:space="preserve">Before the start of Herceptin therapy, overexpression of HER2 in the patient’s tumour tissue must have been demonstrated either by immunohistochemistry at a 3+ level or by molecular biology (detection of HER2 gene amplification using fluorescence </w:t>
      </w:r>
      <w:r>
        <w:rPr>
          <w:i/>
        </w:rPr>
        <w:t>in situ</w:t>
      </w:r>
      <w:r>
        <w:t xml:space="preserve"> hybridisation [FISH] or chromogenic </w:t>
      </w:r>
      <w:r>
        <w:rPr>
          <w:i/>
        </w:rPr>
        <w:t>in situ</w:t>
      </w:r>
      <w:r>
        <w:t xml:space="preserve"> hybridisation [CISH]).</w:t>
      </w:r>
    </w:p>
    <w:p w14:paraId="5B662F0A" w14:textId="77777777" w:rsidR="00AF2C5E" w:rsidRDefault="00AF2C5E">
      <w:pPr>
        <w:pStyle w:val="Heading2"/>
        <w:rPr>
          <w:rFonts w:ascii="Times New Roman" w:hAnsi="Times New Roman" w:cs="Arial"/>
          <w:bCs w:val="0"/>
          <w:szCs w:val="24"/>
        </w:rPr>
      </w:pPr>
      <w:r>
        <w:rPr>
          <w:rFonts w:ascii="Times New Roman" w:hAnsi="Times New Roman" w:cs="Arial"/>
          <w:bCs w:val="0"/>
          <w:noProof/>
          <w:szCs w:val="24"/>
        </w:rPr>
        <w:t>Metastatic breast cancer</w:t>
      </w:r>
    </w:p>
    <w:p w14:paraId="7A277CE1" w14:textId="77777777" w:rsidR="00AF2C5E" w:rsidRDefault="00AF2C5E">
      <w:pPr>
        <w:pStyle w:val="J1"/>
      </w:pPr>
      <w:r>
        <w:t>Herceptin is indicated for the treatment of patients with metastatic breast cancer whose tumours overexpress HER2:</w:t>
      </w:r>
    </w:p>
    <w:p w14:paraId="57EEB34E" w14:textId="77777777" w:rsidR="00AF2C5E" w:rsidRDefault="00AF2C5E">
      <w:pPr>
        <w:pStyle w:val="J1"/>
        <w:numPr>
          <w:ilvl w:val="0"/>
          <w:numId w:val="13"/>
        </w:numPr>
      </w:pPr>
      <w:r>
        <w:t>as a single agent for the treatment of patients who have received one or more chemotherapy regimens for their metastatic disease,</w:t>
      </w:r>
    </w:p>
    <w:p w14:paraId="7B61A301" w14:textId="77777777" w:rsidR="00AF2C5E" w:rsidRDefault="00AF2C5E">
      <w:pPr>
        <w:pStyle w:val="J1"/>
        <w:numPr>
          <w:ilvl w:val="0"/>
          <w:numId w:val="13"/>
        </w:numPr>
      </w:pPr>
      <w:r>
        <w:t>in combination with paclitaxel or docetaxel for the treatment of patients who have not received chemotherapy for their metastatic disease,</w:t>
      </w:r>
    </w:p>
    <w:p w14:paraId="6BB75E3D" w14:textId="77777777" w:rsidR="00AF2C5E" w:rsidRDefault="00AF2C5E">
      <w:pPr>
        <w:pStyle w:val="J1"/>
        <w:numPr>
          <w:ilvl w:val="0"/>
          <w:numId w:val="13"/>
        </w:numPr>
      </w:pPr>
      <w:r>
        <w:t>In combination with an aromatase inhibitor for the treatment of postmenopausal patients with hormone receptor-positive metastatic breast cancer who have not received chemotherapy for their metastatic disease.</w:t>
      </w:r>
    </w:p>
    <w:p w14:paraId="74A7342E" w14:textId="77777777" w:rsidR="00AF2C5E" w:rsidRDefault="00AF2C5E">
      <w:pPr>
        <w:pStyle w:val="J1"/>
      </w:pPr>
      <w:r>
        <w:t>No data are available on breast cancer patients who received adjuvant treatment with Herceptin in the early stage.</w:t>
      </w:r>
    </w:p>
    <w:p w14:paraId="4D89C9D0" w14:textId="77777777" w:rsidR="00AF2C5E" w:rsidRDefault="00AF2C5E">
      <w:pPr>
        <w:pStyle w:val="Heading2"/>
        <w:rPr>
          <w:rFonts w:ascii="Times New Roman" w:hAnsi="Times New Roman" w:cs="Arial"/>
          <w:bCs w:val="0"/>
          <w:szCs w:val="24"/>
        </w:rPr>
      </w:pPr>
      <w:r>
        <w:rPr>
          <w:rFonts w:ascii="Times New Roman" w:hAnsi="Times New Roman" w:cs="Arial"/>
          <w:bCs w:val="0"/>
          <w:noProof/>
          <w:szCs w:val="24"/>
        </w:rPr>
        <w:t>Early breast cancer</w:t>
      </w:r>
    </w:p>
    <w:p w14:paraId="3A100934" w14:textId="77777777" w:rsidR="00AF2C5E" w:rsidRDefault="00AF2C5E">
      <w:pPr>
        <w:pStyle w:val="J1"/>
      </w:pPr>
      <w:r>
        <w:t>Herceptin is indicated for the treatment of patients with HER2-positive early breast cancer</w:t>
      </w:r>
    </w:p>
    <w:p w14:paraId="143DE529" w14:textId="77777777" w:rsidR="00AF2C5E" w:rsidRDefault="00AF2C5E">
      <w:pPr>
        <w:pStyle w:val="J1"/>
        <w:numPr>
          <w:ilvl w:val="0"/>
          <w:numId w:val="15"/>
        </w:numPr>
      </w:pPr>
      <w:r>
        <w:t>Following surgery, (neoadjuvant or adjuvant) chemotherapy and (if applicable) radiotherapy.</w:t>
      </w:r>
    </w:p>
    <w:p w14:paraId="258D247F" w14:textId="77777777" w:rsidR="00AF2C5E" w:rsidRDefault="00AF2C5E">
      <w:pPr>
        <w:pStyle w:val="J1"/>
        <w:numPr>
          <w:ilvl w:val="0"/>
          <w:numId w:val="15"/>
        </w:numPr>
      </w:pPr>
      <w:r>
        <w:lastRenderedPageBreak/>
        <w:t>Following adjuvant chemotherapy with doxorubicin and cyclophosphamide, in combination with paclitaxel or docetaxel.</w:t>
      </w:r>
    </w:p>
    <w:p w14:paraId="32BDE45E" w14:textId="77777777" w:rsidR="00AF2C5E" w:rsidRDefault="00AF2C5E">
      <w:pPr>
        <w:pStyle w:val="J1"/>
        <w:numPr>
          <w:ilvl w:val="0"/>
          <w:numId w:val="15"/>
        </w:numPr>
      </w:pPr>
      <w:r>
        <w:t>In combination with adjuvant chemotherapy consisting of docetaxel and carboplatin.</w:t>
      </w:r>
    </w:p>
    <w:p w14:paraId="39EEC7E2" w14:textId="77777777" w:rsidR="00AF2C5E" w:rsidRDefault="00AF2C5E">
      <w:pPr>
        <w:pStyle w:val="J1"/>
        <w:numPr>
          <w:ilvl w:val="0"/>
          <w:numId w:val="15"/>
        </w:numPr>
      </w:pPr>
      <w:r>
        <w:t>In combination with neoadjuvant chemotherapy followed by adjuvant Herceptin for locally advanced (including inflammatory) breast cancer or tumours &gt;2 cm in diameter.</w:t>
      </w:r>
    </w:p>
    <w:p w14:paraId="18770BDC" w14:textId="77777777" w:rsidR="00AF2C5E" w:rsidRDefault="00AF2C5E">
      <w:pPr>
        <w:pStyle w:val="Titel2Anfang"/>
        <w:spacing w:before="240"/>
        <w:rPr>
          <w:color w:val="000000"/>
        </w:rPr>
      </w:pPr>
      <w:bookmarkStart w:id="0" w:name="BM4200"/>
      <w:r>
        <w:t>Metastatic gastric cancer or cancer of the gastro-oesophageal junction</w:t>
      </w:r>
      <w:bookmarkEnd w:id="0"/>
    </w:p>
    <w:p w14:paraId="2A0EB9D6" w14:textId="77777777" w:rsidR="00AF2C5E" w:rsidRDefault="00AF2C5E">
      <w:pPr>
        <w:rPr>
          <w:rFonts w:ascii="Times New Roman" w:hAnsi="Times New Roman"/>
        </w:rPr>
      </w:pPr>
      <w:r>
        <w:rPr>
          <w:rFonts w:ascii="Times New Roman" w:hAnsi="Times New Roman"/>
        </w:rPr>
        <w:t xml:space="preserve">Herceptin in combination with capecitabine or intravenous 5-fluorouracil and cisplatin is indicated for the treatment of patients with HER2-positive metastatic adenocarcinoma of the stomach or gastro-oesophageal junction who have not received chemotherapy for their metastatic disease. Herceptin should only be used in patients with metastatic gastric cancer whose tumours overexpress HER2, as defined by IHC2+ and confirmed by a positive FISH+ or silver </w:t>
      </w:r>
      <w:r>
        <w:rPr>
          <w:rFonts w:ascii="Times New Roman" w:hAnsi="Times New Roman"/>
          <w:i/>
        </w:rPr>
        <w:t>in situ</w:t>
      </w:r>
      <w:r>
        <w:rPr>
          <w:rFonts w:ascii="Times New Roman" w:hAnsi="Times New Roman"/>
        </w:rPr>
        <w:t xml:space="preserve"> hybridisation (SISH) result, or by IHC3+ determined in a validated test.</w:t>
      </w:r>
    </w:p>
    <w:p w14:paraId="11FC0217" w14:textId="77777777" w:rsidR="00AF2C5E" w:rsidRDefault="00AF2C5E">
      <w:pPr>
        <w:pStyle w:val="Heading4a"/>
        <w:rPr>
          <w:rFonts w:ascii="Times New Roman" w:hAnsi="Times New Roman"/>
          <w:i/>
        </w:rPr>
      </w:pPr>
    </w:p>
    <w:p w14:paraId="0BE8DA71" w14:textId="77777777" w:rsidR="00AF2C5E" w:rsidRDefault="00AF2C5E">
      <w:pPr>
        <w:pStyle w:val="HdCentNoNum"/>
        <w:jc w:val="left"/>
        <w:rPr>
          <w:rFonts w:ascii="Times New Roman" w:hAnsi="Times New Roman"/>
          <w:caps w:val="0"/>
          <w:sz w:val="22"/>
        </w:rPr>
      </w:pPr>
      <w:r>
        <w:rPr>
          <w:rFonts w:ascii="Times New Roman" w:hAnsi="Times New Roman"/>
          <w:caps w:val="0"/>
          <w:sz w:val="22"/>
        </w:rPr>
        <w:t>Dosage/Administration</w:t>
      </w:r>
    </w:p>
    <w:p w14:paraId="7F10C95C" w14:textId="77777777" w:rsidR="00AF2C5E" w:rsidRDefault="00AF2C5E">
      <w:pPr>
        <w:pStyle w:val="Heading4a"/>
        <w:rPr>
          <w:rFonts w:ascii="Times New Roman" w:hAnsi="Times New Roman"/>
          <w:i/>
          <w:sz w:val="21"/>
        </w:rPr>
      </w:pPr>
      <w:r>
        <w:rPr>
          <w:rFonts w:ascii="Times New Roman" w:hAnsi="Times New Roman"/>
          <w:i/>
          <w:sz w:val="21"/>
        </w:rPr>
        <w:t xml:space="preserve"> </w:t>
      </w:r>
    </w:p>
    <w:p w14:paraId="4209C3FC" w14:textId="77777777" w:rsidR="00AF2C5E" w:rsidRDefault="00AF2C5E">
      <w:pPr>
        <w:pStyle w:val="J1"/>
      </w:pPr>
      <w:r>
        <w:t>It is essential that treatment with Herceptin be initiated under the supervision of a physician who is experienced in the treatment of cancer patients.</w:t>
      </w:r>
    </w:p>
    <w:p w14:paraId="0BB0743D" w14:textId="77777777" w:rsidR="00AF2C5E" w:rsidRDefault="00AF2C5E">
      <w:pPr>
        <w:rPr>
          <w:rFonts w:ascii="Times New Roman" w:hAnsi="Times New Roman"/>
        </w:rPr>
      </w:pPr>
      <w:r>
        <w:rPr>
          <w:rFonts w:ascii="Times New Roman" w:hAnsi="Times New Roman" w:cs="Arial"/>
          <w:noProof/>
          <w:szCs w:val="24"/>
          <w:lang w:bidi="he-IL"/>
        </w:rPr>
        <w:t xml:space="preserve">A validated HER2 test is mandatory before initiating therapy </w:t>
      </w:r>
      <w:r>
        <w:rPr>
          <w:rFonts w:ascii="Times New Roman" w:hAnsi="Times New Roman" w:cs="Arial"/>
          <w:i/>
          <w:noProof/>
          <w:szCs w:val="24"/>
          <w:lang w:bidi="he-IL"/>
        </w:rPr>
        <w:t>(see Properties/Effects).</w:t>
      </w:r>
    </w:p>
    <w:p w14:paraId="0B680BE6" w14:textId="77777777" w:rsidR="00AF2C5E" w:rsidRDefault="00AF2C5E">
      <w:pPr>
        <w:pStyle w:val="J1"/>
      </w:pPr>
      <w:r>
        <w:t>In order to prevent medication errors it is important to check the vial labels to ensure that the drug being prepared and administered is Herceptin (trastuzumab) and not Kadcyla (trastuzumab emtansine).</w:t>
      </w:r>
    </w:p>
    <w:p w14:paraId="319D31D3" w14:textId="77777777" w:rsidR="00AF2C5E" w:rsidRDefault="00AF2C5E">
      <w:pPr>
        <w:pStyle w:val="J2"/>
      </w:pPr>
      <w:r>
        <w:t>To ensure the traceability of biological medicinal products, it is recommended that the trade name and batch number be documented with every treatment.</w:t>
      </w:r>
    </w:p>
    <w:p w14:paraId="768D3920" w14:textId="77777777" w:rsidR="00AF2C5E" w:rsidRDefault="00AF2C5E">
      <w:pPr>
        <w:pStyle w:val="Heading2"/>
        <w:rPr>
          <w:rFonts w:ascii="Times New Roman" w:hAnsi="Times New Roman" w:cs="Arial"/>
          <w:bCs w:val="0"/>
          <w:szCs w:val="24"/>
        </w:rPr>
      </w:pPr>
      <w:r>
        <w:rPr>
          <w:rFonts w:ascii="Times New Roman" w:hAnsi="Times New Roman" w:cs="Arial"/>
          <w:bCs w:val="0"/>
          <w:noProof/>
          <w:szCs w:val="24"/>
        </w:rPr>
        <w:t>Metastatic breast cancer – weekly schedule</w:t>
      </w:r>
    </w:p>
    <w:p w14:paraId="22D579C9" w14:textId="77777777" w:rsidR="00AF2C5E" w:rsidRDefault="00AF2C5E">
      <w:pPr>
        <w:pStyle w:val="J1"/>
      </w:pPr>
      <w:r>
        <w:t>Herceptin should be administered as an intravenous infusion. Do not administer as an intravenous bolus.</w:t>
      </w:r>
    </w:p>
    <w:p w14:paraId="72ADE2EB" w14:textId="77777777" w:rsidR="00AF2C5E" w:rsidRDefault="00AF2C5E">
      <w:pPr>
        <w:pStyle w:val="J1"/>
      </w:pPr>
      <w:r>
        <w:t>The following initial and subsequent doses are recommended both for monotherapy and for combination with chemotherapy:</w:t>
      </w:r>
    </w:p>
    <w:p w14:paraId="13E7357A" w14:textId="77777777" w:rsidR="00AF2C5E" w:rsidRDefault="00AF2C5E">
      <w:pPr>
        <w:pStyle w:val="Heading3"/>
        <w:rPr>
          <w:iCs/>
        </w:rPr>
      </w:pPr>
      <w:r>
        <w:rPr>
          <w:iCs/>
        </w:rPr>
        <w:t>Monotherapy</w:t>
      </w:r>
    </w:p>
    <w:p w14:paraId="27FB5693" w14:textId="77777777" w:rsidR="00AF2C5E" w:rsidRDefault="00AF2C5E">
      <w:pPr>
        <w:pStyle w:val="Heading3a"/>
        <w:rPr>
          <w:iCs w:val="0"/>
        </w:rPr>
      </w:pPr>
      <w:r>
        <w:rPr>
          <w:iCs w:val="0"/>
        </w:rPr>
        <w:t>Initial dose</w:t>
      </w:r>
    </w:p>
    <w:p w14:paraId="7035034A" w14:textId="77777777" w:rsidR="00AF2C5E" w:rsidRDefault="00AF2C5E">
      <w:pPr>
        <w:pStyle w:val="J1"/>
      </w:pPr>
      <w:r>
        <w:t>The recommended initial dose is Herceptin 4 mg/kg body weight administered as a 90-minute intravenous infusion.</w:t>
      </w:r>
    </w:p>
    <w:p w14:paraId="3CCC2F6F" w14:textId="77777777" w:rsidR="00AF2C5E" w:rsidRDefault="00AF2C5E">
      <w:pPr>
        <w:pStyle w:val="Heading3"/>
        <w:rPr>
          <w:iCs/>
        </w:rPr>
      </w:pPr>
      <w:r>
        <w:rPr>
          <w:iCs/>
        </w:rPr>
        <w:t>Subsequent doses</w:t>
      </w:r>
    </w:p>
    <w:p w14:paraId="0044916A" w14:textId="77777777" w:rsidR="00AF2C5E" w:rsidRDefault="00AF2C5E">
      <w:pPr>
        <w:pStyle w:val="J1"/>
      </w:pPr>
      <w:r>
        <w:t>The recommended weekly maintenance dose is Herceptin 2 mg/kg body weight, which can be administered as a 30-minute infusion if the initial dose was well tolerated.</w:t>
      </w:r>
    </w:p>
    <w:p w14:paraId="618B4C0C" w14:textId="77777777" w:rsidR="00AF2C5E" w:rsidRDefault="00AF2C5E">
      <w:pPr>
        <w:pStyle w:val="Heading3"/>
        <w:rPr>
          <w:iCs/>
        </w:rPr>
      </w:pPr>
      <w:r>
        <w:rPr>
          <w:iCs/>
        </w:rPr>
        <w:t>Combination therapy with paclitaxel or docetaxel</w:t>
      </w:r>
    </w:p>
    <w:p w14:paraId="37F15F93" w14:textId="77777777" w:rsidR="00AF2C5E" w:rsidRDefault="00AF2C5E">
      <w:pPr>
        <w:pStyle w:val="J1"/>
      </w:pPr>
      <w:r>
        <w:t>The dosage of Herceptin in combination therapy is the same as that in monotherapy. Paclitaxel or docetaxel is administered on the day following the first dose of Herceptin treatment. Thereafter paclitaxel or docetaxel can be administered at 3</w:t>
      </w:r>
      <w:r>
        <w:noBreakHyphen/>
        <w:t>weekly intervals immediately after the subsequent Herceptin doses, if preceding Herceptin administration has been well tolerated. For the dosage of paclitaxel or docetaxel, see the relevant prescribing information.</w:t>
      </w:r>
    </w:p>
    <w:p w14:paraId="41EC4BE4" w14:textId="77777777" w:rsidR="00AF2C5E" w:rsidRDefault="00AF2C5E">
      <w:pPr>
        <w:pStyle w:val="Heading3"/>
        <w:rPr>
          <w:iCs/>
        </w:rPr>
      </w:pPr>
      <w:r>
        <w:rPr>
          <w:iCs/>
        </w:rPr>
        <w:t>Combination therapy with an aromatase inhibitor</w:t>
      </w:r>
    </w:p>
    <w:p w14:paraId="21283A3A" w14:textId="77777777" w:rsidR="00AF2C5E" w:rsidRDefault="00AF2C5E">
      <w:pPr>
        <w:pStyle w:val="J1"/>
      </w:pPr>
      <w:r>
        <w:t>The dosage of Herceptin in combination therapy is the same as that in monotherapy. In the pivotal trial, Herceptin and anastrozole were administered on day 1. There were no restrictions on the relative timing for coadministration. For the dosage of anastrozole, see the relevant prescribing information. If the patient has been receiving tamoxifen, it should be discontinued at least a day before starting combination therapy.</w:t>
      </w:r>
    </w:p>
    <w:p w14:paraId="1F4E9917" w14:textId="77777777" w:rsidR="00AF2C5E" w:rsidRDefault="00AF2C5E">
      <w:pPr>
        <w:pStyle w:val="Heading2"/>
        <w:rPr>
          <w:rFonts w:ascii="Times New Roman" w:hAnsi="Times New Roman" w:cs="Arial"/>
          <w:bCs w:val="0"/>
          <w:szCs w:val="24"/>
        </w:rPr>
      </w:pPr>
      <w:r>
        <w:rPr>
          <w:rFonts w:ascii="Times New Roman" w:hAnsi="Times New Roman" w:cs="Arial"/>
          <w:bCs w:val="0"/>
          <w:noProof/>
          <w:szCs w:val="24"/>
        </w:rPr>
        <w:lastRenderedPageBreak/>
        <w:t>Metastatic breast cancer – 3-weekly schedule</w:t>
      </w:r>
    </w:p>
    <w:p w14:paraId="2553CEEA" w14:textId="77777777" w:rsidR="00AF2C5E" w:rsidRDefault="00AF2C5E">
      <w:pPr>
        <w:pStyle w:val="Heading3a"/>
        <w:rPr>
          <w:iCs w:val="0"/>
        </w:rPr>
      </w:pPr>
      <w:r>
        <w:rPr>
          <w:iCs w:val="0"/>
        </w:rPr>
        <w:t>Monotherapy and combination therapy</w:t>
      </w:r>
    </w:p>
    <w:p w14:paraId="1B35AC65" w14:textId="77777777" w:rsidR="00AF2C5E" w:rsidRDefault="00AF2C5E">
      <w:pPr>
        <w:pStyle w:val="J1"/>
      </w:pPr>
      <w:r>
        <w:t>As an alternative to weekly administration, the following 3-weekly schedule is recommended in monotherapy as well as in combination with paclitaxel, docetaxel or an aromatase inhibitor:</w:t>
      </w:r>
    </w:p>
    <w:p w14:paraId="752359CF" w14:textId="77777777" w:rsidR="00AF2C5E" w:rsidRDefault="00AF2C5E">
      <w:pPr>
        <w:pStyle w:val="J1"/>
      </w:pPr>
      <w:r>
        <w:t>The initial dose is Herceptin 8 mg/kg body weight, followed 3 weeks later by 6 mg/kg body weight. The subsequent Herceptin doses of 6 mg/kg body weight are repeated at 3-weekly intervals. Treatment is administered by infusion over approximately 90 minutes.</w:t>
      </w:r>
    </w:p>
    <w:p w14:paraId="68394019" w14:textId="77777777" w:rsidR="00AF2C5E" w:rsidRDefault="00AF2C5E">
      <w:pPr>
        <w:pStyle w:val="J1"/>
      </w:pPr>
      <w:r>
        <w:t xml:space="preserve">If the initial dose was well tolerated, the maintenance dose can be administered as a 30-minute infusion. </w:t>
      </w:r>
    </w:p>
    <w:p w14:paraId="775D007B" w14:textId="77777777" w:rsidR="00AF2C5E" w:rsidRDefault="00AF2C5E">
      <w:pPr>
        <w:pStyle w:val="Heading2"/>
        <w:rPr>
          <w:rFonts w:ascii="Times New Roman" w:hAnsi="Times New Roman" w:cs="Arial"/>
          <w:bCs w:val="0"/>
          <w:szCs w:val="24"/>
        </w:rPr>
      </w:pPr>
      <w:r>
        <w:rPr>
          <w:rFonts w:ascii="Times New Roman" w:hAnsi="Times New Roman" w:cs="Arial"/>
          <w:bCs w:val="0"/>
          <w:noProof/>
          <w:szCs w:val="24"/>
        </w:rPr>
        <w:t>Early breast cancer</w:t>
      </w:r>
    </w:p>
    <w:p w14:paraId="45E8631F" w14:textId="77777777" w:rsidR="00AF2C5E" w:rsidRDefault="00AF2C5E">
      <w:pPr>
        <w:pStyle w:val="J1"/>
      </w:pPr>
      <w:r>
        <w:t>For the following treatment regimens, Herceptin is given until recurrence or for a total of 52 weeks.</w:t>
      </w:r>
    </w:p>
    <w:p w14:paraId="7F2F8096" w14:textId="77777777" w:rsidR="00AF2C5E" w:rsidRDefault="00AF2C5E">
      <w:pPr>
        <w:pStyle w:val="Heading3"/>
        <w:rPr>
          <w:iCs/>
        </w:rPr>
      </w:pPr>
      <w:r>
        <w:rPr>
          <w:iCs/>
        </w:rPr>
        <w:t>Weekly dosing</w:t>
      </w:r>
    </w:p>
    <w:p w14:paraId="5C650303" w14:textId="77777777" w:rsidR="00AF2C5E" w:rsidRDefault="00AF2C5E">
      <w:pPr>
        <w:pStyle w:val="J1"/>
      </w:pPr>
      <w:r>
        <w:t>With weekly administration the initial dose is 4 mg/kg body weight, followed by 2 mg/kg body weight every week.</w:t>
      </w:r>
    </w:p>
    <w:p w14:paraId="2A316222" w14:textId="77777777" w:rsidR="00AF2C5E" w:rsidRDefault="00AF2C5E">
      <w:pPr>
        <w:pStyle w:val="Heading3"/>
        <w:rPr>
          <w:iCs/>
        </w:rPr>
      </w:pPr>
      <w:r>
        <w:rPr>
          <w:iCs/>
        </w:rPr>
        <w:t>Three-weekly dosing</w:t>
      </w:r>
    </w:p>
    <w:p w14:paraId="438E763D" w14:textId="77777777" w:rsidR="00AF2C5E" w:rsidRDefault="00AF2C5E">
      <w:pPr>
        <w:pStyle w:val="J1"/>
      </w:pPr>
      <w:r>
        <w:t>With 3</w:t>
      </w:r>
      <w:r>
        <w:noBreakHyphen/>
        <w:t>weekly administration the recommended initial dose of Herceptin is 8 mg/kg body weight. The recommended maintenance dose of Herceptin at 3</w:t>
      </w:r>
      <w:r>
        <w:noBreakHyphen/>
        <w:t>weekly intervals is 6 mg/kg body weight, beginning 3 weeks after the initial dose.</w:t>
      </w:r>
    </w:p>
    <w:p w14:paraId="4B5ACB5D" w14:textId="77777777" w:rsidR="00AF2C5E" w:rsidRDefault="00AF2C5E">
      <w:pPr>
        <w:pStyle w:val="J1"/>
      </w:pPr>
      <w:r>
        <w:t>When Herceptin is continued alone following combination with chemotherapy, 6 mg/kg is given at 3</w:t>
      </w:r>
      <w:r>
        <w:noBreakHyphen/>
        <w:t>weekly intervals.</w:t>
      </w:r>
    </w:p>
    <w:p w14:paraId="75389A61" w14:textId="77777777" w:rsidR="00AF2C5E" w:rsidRDefault="00AF2C5E">
      <w:pPr>
        <w:pStyle w:val="Text"/>
        <w:rPr>
          <w:i/>
        </w:rPr>
      </w:pPr>
      <w:r>
        <w:t xml:space="preserve">How Herceptin was investigated in the studies in combination with chemotherapy can be seen from the section on clinical studies in early breast cancer under </w:t>
      </w:r>
      <w:r>
        <w:rPr>
          <w:i/>
        </w:rPr>
        <w:t>Properties/Effects.</w:t>
      </w:r>
    </w:p>
    <w:p w14:paraId="17877526" w14:textId="77777777" w:rsidR="00AF2C5E" w:rsidRDefault="00AF2C5E">
      <w:pPr>
        <w:pStyle w:val="Heading2"/>
        <w:rPr>
          <w:rFonts w:ascii="Times New Roman" w:hAnsi="Times New Roman" w:cs="Arial"/>
          <w:bCs w:val="0"/>
          <w:szCs w:val="24"/>
        </w:rPr>
      </w:pPr>
      <w:r>
        <w:rPr>
          <w:rFonts w:ascii="Times New Roman" w:hAnsi="Times New Roman" w:cs="Arial"/>
          <w:bCs w:val="0"/>
          <w:noProof/>
          <w:szCs w:val="24"/>
        </w:rPr>
        <w:t>Advanced gastric cancer or cancer of the gastro-oesophageal junction – 3-weekly schedule</w:t>
      </w:r>
    </w:p>
    <w:p w14:paraId="42A5FAA9" w14:textId="77777777" w:rsidR="00AF2C5E" w:rsidRDefault="00AF2C5E">
      <w:pPr>
        <w:pStyle w:val="J1"/>
      </w:pPr>
      <w:r>
        <w:t xml:space="preserve">The initial dose is 8 mg/kg body weight, followed 3 weeks later by 6 mg/kg body weight. The subsequent Herceptin doses of 6 mg/kg body weight are repeated at 3-weekly intervals. Treatment is administered by infusion over approximately 90 minutes. If the initial dose was well tolerated, the maintenance dose can be administered as a 30-minute infusion. </w:t>
      </w:r>
    </w:p>
    <w:p w14:paraId="748E06A6" w14:textId="77777777" w:rsidR="00AF2C5E" w:rsidRDefault="00AF2C5E">
      <w:pPr>
        <w:pStyle w:val="Heading2"/>
        <w:rPr>
          <w:rFonts w:ascii="Times New Roman" w:hAnsi="Times New Roman" w:cs="Arial"/>
          <w:bCs w:val="0"/>
          <w:szCs w:val="24"/>
        </w:rPr>
      </w:pPr>
      <w:r>
        <w:rPr>
          <w:rFonts w:ascii="Times New Roman" w:hAnsi="Times New Roman" w:cs="Arial"/>
          <w:bCs w:val="0"/>
          <w:noProof/>
          <w:szCs w:val="24"/>
        </w:rPr>
        <w:t>Duration of treatment</w:t>
      </w:r>
    </w:p>
    <w:p w14:paraId="07A205AB" w14:textId="77777777" w:rsidR="00AF2C5E" w:rsidRDefault="00AF2C5E">
      <w:pPr>
        <w:spacing w:before="60"/>
        <w:rPr>
          <w:rFonts w:ascii="Times New Roman" w:hAnsi="Times New Roman" w:cs="Arial"/>
          <w:szCs w:val="24"/>
          <w:lang w:bidi="he-IL"/>
        </w:rPr>
      </w:pPr>
      <w:r>
        <w:rPr>
          <w:rFonts w:ascii="Times New Roman" w:hAnsi="Times New Roman" w:cs="Arial"/>
          <w:noProof/>
          <w:szCs w:val="24"/>
          <w:lang w:bidi="he-IL"/>
        </w:rPr>
        <w:t>Patients with metastatic breast cancer, advanced gastric cancer or cancer of the gastro-oesophageal junction should be treated with Herceptin until disease progression or unmanageable toxicity.</w:t>
      </w:r>
      <w:r>
        <w:rPr>
          <w:rFonts w:ascii="Times New Roman" w:hAnsi="Times New Roman" w:cs="Arial"/>
          <w:szCs w:val="24"/>
          <w:lang w:bidi="he-IL"/>
        </w:rPr>
        <w:t xml:space="preserve"> </w:t>
      </w:r>
      <w:r>
        <w:rPr>
          <w:rFonts w:ascii="Times New Roman" w:hAnsi="Times New Roman" w:cs="Arial"/>
          <w:noProof/>
          <w:szCs w:val="24"/>
          <w:lang w:bidi="he-IL"/>
        </w:rPr>
        <w:t>Patients with early breast cancer should be treated for 1 year or until disease recurrence or unmanageable toxicity, whichever occurs first.</w:t>
      </w:r>
      <w:r>
        <w:rPr>
          <w:rFonts w:ascii="Times New Roman" w:hAnsi="Times New Roman" w:cs="Arial"/>
          <w:szCs w:val="24"/>
          <w:lang w:bidi="he-IL"/>
        </w:rPr>
        <w:t xml:space="preserve"> </w:t>
      </w:r>
      <w:r>
        <w:rPr>
          <w:rFonts w:ascii="Times New Roman" w:hAnsi="Times New Roman" w:cs="Arial"/>
          <w:noProof/>
          <w:szCs w:val="24"/>
          <w:lang w:bidi="he-IL"/>
        </w:rPr>
        <w:t>Treatment of early breast cancer beyond one year is not recommended (see Properties/Effects, Clinical data).</w:t>
      </w:r>
    </w:p>
    <w:p w14:paraId="6DC0323B" w14:textId="77777777" w:rsidR="00AF2C5E" w:rsidRDefault="00AF2C5E">
      <w:pPr>
        <w:pStyle w:val="TextTi12"/>
        <w:spacing w:before="240" w:after="0"/>
        <w:rPr>
          <w:rFonts w:ascii="Times New Roman" w:hAnsi="Times New Roman"/>
          <w:i/>
          <w:sz w:val="22"/>
        </w:rPr>
      </w:pPr>
      <w:r>
        <w:rPr>
          <w:rFonts w:ascii="Times New Roman" w:hAnsi="Times New Roman"/>
          <w:i/>
          <w:sz w:val="22"/>
        </w:rPr>
        <w:t>Dose adjustment following undesirable effects</w:t>
      </w:r>
    </w:p>
    <w:p w14:paraId="0153FBB9" w14:textId="77777777" w:rsidR="00AF2C5E" w:rsidRDefault="00AF2C5E">
      <w:pPr>
        <w:spacing w:before="60"/>
        <w:rPr>
          <w:rFonts w:ascii="Times New Roman" w:hAnsi="Times New Roman"/>
        </w:rPr>
      </w:pPr>
      <w:r>
        <w:rPr>
          <w:rFonts w:ascii="Times New Roman" w:hAnsi="Times New Roman" w:cs="Arial"/>
          <w:noProof/>
          <w:szCs w:val="24"/>
          <w:lang w:bidi="he-IL"/>
        </w:rPr>
        <w:t>If the patient develops an infusion-related reaction (IRR), the infusion rate of Herceptin IV should be slowed or the infusion interrupted, and the patient should be monitored until resolution of all observed symptoms (see “Warnings and precautions”).</w:t>
      </w:r>
    </w:p>
    <w:p w14:paraId="0DEC861B" w14:textId="77777777" w:rsidR="00AF2C5E" w:rsidRDefault="00AF2C5E">
      <w:pPr>
        <w:pStyle w:val="J1"/>
      </w:pPr>
      <w:r>
        <w:t>No dose reduction of Herceptin was undertaken in clinical studies. Treatment with Herceptin can be continued during phases of reversible, chemotherapy-induced myelosuppression, but patients should be carefully monitored during this time for complications of neutropenia. The special instructions on dose reduction or prolongation of intervals for the chemotherapy must be observed.</w:t>
      </w:r>
    </w:p>
    <w:p w14:paraId="45E17F7E" w14:textId="77777777" w:rsidR="00AF2C5E" w:rsidRDefault="00AF2C5E">
      <w:pPr>
        <w:pStyle w:val="J1"/>
      </w:pPr>
      <w:r>
        <w:t>If the left ventricular ejection fraction (LVEF) falls by ≥10 percentage points from baseline or to below 50%, treatment should be suspended and a repeat LVEF measurement performed within approximately 3 weeks. If LVEF does not improve or declines further, or if symptomatic congestive heart failure (CHF) develops, discontinuation of Herceptin treatment should be seriously considered unless the benefits for the individual patient are assumed to outweigh the risks. These patients should be referred to a cardiologist for investigation and kept under observation.</w:t>
      </w:r>
    </w:p>
    <w:p w14:paraId="76E4E743" w14:textId="77777777" w:rsidR="00AF2C5E" w:rsidRDefault="00AF2C5E">
      <w:pPr>
        <w:pStyle w:val="Heading3"/>
        <w:rPr>
          <w:iCs/>
        </w:rPr>
      </w:pPr>
      <w:r>
        <w:rPr>
          <w:iCs/>
        </w:rPr>
        <w:lastRenderedPageBreak/>
        <w:t>Special dosage instructions</w:t>
      </w:r>
    </w:p>
    <w:p w14:paraId="4688FFCF" w14:textId="77777777" w:rsidR="00AF2C5E" w:rsidRDefault="00AF2C5E">
      <w:pPr>
        <w:pStyle w:val="Heading3a"/>
        <w:rPr>
          <w:iCs w:val="0"/>
        </w:rPr>
      </w:pPr>
      <w:r>
        <w:rPr>
          <w:iCs w:val="0"/>
        </w:rPr>
        <w:t>Elderly patients</w:t>
      </w:r>
    </w:p>
    <w:p w14:paraId="10CA7574" w14:textId="77777777" w:rsidR="00AF2C5E" w:rsidRDefault="00AF2C5E">
      <w:pPr>
        <w:pStyle w:val="J1"/>
      </w:pPr>
      <w:r>
        <w:t>Data indicate that the availability of Herceptin is not age-dependent (see Pharmacokinetics in specific patient groups).</w:t>
      </w:r>
    </w:p>
    <w:p w14:paraId="4208A108" w14:textId="77777777" w:rsidR="00AF2C5E" w:rsidRDefault="00AF2C5E">
      <w:pPr>
        <w:pStyle w:val="J1"/>
      </w:pPr>
      <w:r>
        <w:t>In clinical trials, patients ≥65 years of age did not receive reduced doses of Herceptin.</w:t>
      </w:r>
    </w:p>
    <w:p w14:paraId="60168B18" w14:textId="77777777" w:rsidR="00AF2C5E" w:rsidRDefault="00AF2C5E">
      <w:pPr>
        <w:pStyle w:val="Heading3"/>
        <w:rPr>
          <w:iCs/>
        </w:rPr>
      </w:pPr>
      <w:r>
        <w:rPr>
          <w:iCs/>
        </w:rPr>
        <w:t>Children and adolescents</w:t>
      </w:r>
    </w:p>
    <w:p w14:paraId="5BE2F3BB" w14:textId="77777777" w:rsidR="00AF2C5E" w:rsidRDefault="00AF2C5E">
      <w:pPr>
        <w:rPr>
          <w:rFonts w:ascii="Times New Roman" w:hAnsi="Times New Roman"/>
        </w:rPr>
      </w:pPr>
      <w:r>
        <w:rPr>
          <w:rFonts w:ascii="Times New Roman" w:hAnsi="Times New Roman" w:cs="Arial"/>
          <w:noProof/>
          <w:szCs w:val="24"/>
          <w:lang w:bidi="he-IL"/>
        </w:rPr>
        <w:t>The use and safety of Herceptin in children and adolescents &lt;18 years of age</w:t>
      </w:r>
      <w:r>
        <w:rPr>
          <w:rFonts w:ascii="Times New Roman" w:hAnsi="Times New Roman"/>
        </w:rPr>
        <w:t xml:space="preserve"> </w:t>
      </w:r>
      <w:r>
        <w:rPr>
          <w:rFonts w:ascii="Times New Roman" w:hAnsi="Times New Roman" w:cs="Arial"/>
          <w:noProof/>
          <w:szCs w:val="24"/>
          <w:lang w:bidi="he-IL"/>
        </w:rPr>
        <w:t>have not yet been tested.</w:t>
      </w:r>
    </w:p>
    <w:p w14:paraId="2CAD28DF" w14:textId="77777777" w:rsidR="00AF2C5E" w:rsidRDefault="00AF2C5E">
      <w:pPr>
        <w:pStyle w:val="Heading3"/>
        <w:rPr>
          <w:iCs/>
        </w:rPr>
      </w:pPr>
      <w:r>
        <w:rPr>
          <w:iCs/>
        </w:rPr>
        <w:t>Delayed administration</w:t>
      </w:r>
    </w:p>
    <w:p w14:paraId="0A05C7FC" w14:textId="77777777" w:rsidR="00AF2C5E" w:rsidRDefault="00AF2C5E">
      <w:pPr>
        <w:pStyle w:val="J1"/>
      </w:pPr>
      <w:r>
        <w:t>If the patient has missed a dose of Herceptin by one week or less, then the usual maintenance dose (weekly regimen: 2 mg/kg body weight; 3</w:t>
      </w:r>
      <w:r>
        <w:noBreakHyphen/>
        <w:t>weekly regimen: 6 mg/kg body weight) should be given as soon as possible (do not wait until the next planned cycle). Subsequent Herceptin maintenance doses should be given 7 or 21 days later according to the weekly or 3</w:t>
      </w:r>
      <w:r>
        <w:noBreakHyphen/>
        <w:t>weekly schedule, respectively.</w:t>
      </w:r>
    </w:p>
    <w:p w14:paraId="1AD5C147" w14:textId="77777777" w:rsidR="00AF2C5E" w:rsidRDefault="00AF2C5E">
      <w:pPr>
        <w:pStyle w:val="J1"/>
      </w:pPr>
      <w:r>
        <w:t>If the patient has missed a Herceptin dose by more than one week, an initial dose of Herceptin should be readministered over approximately 90 minutes (weekly regimen: 4 mg/kg body weight; 3</w:t>
      </w:r>
      <w:r>
        <w:noBreakHyphen/>
        <w:t>weekly regimen: 8 mg/kg body weight) as soon as possible. Subsequent Herceptin maintenance doses (weekly regimen: 2 mg/kg; 3</w:t>
      </w:r>
      <w:r>
        <w:noBreakHyphen/>
        <w:t>weekly regimen: 6 mg/kg) should be given 7 or 21 days later according to the weekly or 3</w:t>
      </w:r>
      <w:r>
        <w:noBreakHyphen/>
        <w:t>weekly schedule, respectively.</w:t>
      </w:r>
    </w:p>
    <w:p w14:paraId="15647326" w14:textId="77777777" w:rsidR="00AF2C5E" w:rsidRDefault="00AF2C5E">
      <w:pPr>
        <w:pStyle w:val="Heading1"/>
      </w:pPr>
      <w:r>
        <w:t>Contraindications</w:t>
      </w:r>
    </w:p>
    <w:p w14:paraId="49A22EAE" w14:textId="77777777" w:rsidR="00AF2C5E" w:rsidRDefault="00AF2C5E">
      <w:pPr>
        <w:pStyle w:val="J1"/>
      </w:pPr>
      <w:r>
        <w:t>Herceptin is contraindicated in patients with known hypersensitivity to trastuzumab, Chinese hamster ovary (CHO) cell proteins, or any product or solvent excipient.</w:t>
      </w:r>
    </w:p>
    <w:p w14:paraId="6DE593B0" w14:textId="77777777" w:rsidR="00AF2C5E" w:rsidRDefault="00AF2C5E">
      <w:pPr>
        <w:pStyle w:val="J1"/>
      </w:pPr>
      <w:r>
        <w:t>Herceptin and anthracyclines should not be given concurrently in the metastatic breast cancer or adjuvant treatment setting. In the neoadjuvant treatment setting, concurrent administration of Herceptin and anthracyclines should be used with caution and only in chemotherapy-naïve patients.</w:t>
      </w:r>
    </w:p>
    <w:p w14:paraId="1B5FB5E9" w14:textId="77777777" w:rsidR="00AF2C5E" w:rsidRDefault="00AF2C5E">
      <w:pPr>
        <w:rPr>
          <w:rFonts w:ascii="Times New Roman" w:hAnsi="Times New Roman"/>
        </w:rPr>
      </w:pPr>
      <w:r>
        <w:rPr>
          <w:rFonts w:ascii="Times New Roman" w:hAnsi="Times New Roman" w:cs="Arial"/>
          <w:noProof/>
          <w:szCs w:val="24"/>
          <w:lang w:bidi="he-IL"/>
        </w:rPr>
        <w:t>Herceptin is contraindicated in patients suffering dyspnoea at rest due to advanced malignancy or comorbidities.</w:t>
      </w:r>
    </w:p>
    <w:p w14:paraId="41D25F92" w14:textId="77777777" w:rsidR="00AF2C5E" w:rsidRDefault="00AF2C5E">
      <w:pPr>
        <w:pStyle w:val="Heading1"/>
      </w:pPr>
      <w:r>
        <w:t>Warnings and precautions</w:t>
      </w:r>
    </w:p>
    <w:p w14:paraId="3EA93928" w14:textId="77777777" w:rsidR="00AF2C5E" w:rsidRDefault="00AF2C5E">
      <w:pPr>
        <w:pStyle w:val="J1"/>
      </w:pPr>
      <w:commentRangeStart w:id="1"/>
      <w:r>
        <w:t>To improve the traceability of biological medicinal products, the trade name Herceptin should be clearly noted in the patient’s medical record. Substitution by any other biological medicinal product requires the consent of the prescribing physician. Data in this prescribing information relate only to Herceptin.</w:t>
      </w:r>
      <w:commentRangeEnd w:id="1"/>
      <w:r w:rsidR="0000332D">
        <w:rPr>
          <w:rStyle w:val="CommentReference"/>
          <w:rFonts w:ascii="Arial" w:hAnsi="Arial"/>
          <w:noProof w:val="0"/>
          <w:lang w:bidi="ar-SA"/>
        </w:rPr>
        <w:commentReference w:id="1"/>
      </w:r>
    </w:p>
    <w:p w14:paraId="7D029A8E" w14:textId="77777777" w:rsidR="00AF2C5E" w:rsidRDefault="00AF2C5E">
      <w:pPr>
        <w:pStyle w:val="Heading3"/>
        <w:rPr>
          <w:iCs/>
        </w:rPr>
      </w:pPr>
      <w:r>
        <w:rPr>
          <w:iCs/>
        </w:rPr>
        <w:t>Herceptin for multidose use (benzyl alcohol)</w:t>
      </w:r>
    </w:p>
    <w:p w14:paraId="67F0306C" w14:textId="77777777" w:rsidR="00AF2C5E" w:rsidRDefault="00AF2C5E">
      <w:pPr>
        <w:pStyle w:val="J1"/>
      </w:pPr>
      <w:r>
        <w:t>The solvent for Herceptin 440 mg (bacteriostatic water for injection) contains 220 mg benzyl alcohol/20 ml as a preservative. Benzyl alcohol may cause allergic reactions. Benzyl alcohol has been linked to the risk of serious adverse reactions including breathing problems (called “gasping syndrome”) in young children. The product must not be used in neonates or young children. For patients with known hypersensitivity to benzyl alcohol, the Herceptin powder should be reconstituted exclusively with water for injection and only a single dose of Herceptin should be withdrawn from the vial, any unused portion being discarded.</w:t>
      </w:r>
    </w:p>
    <w:p w14:paraId="047E7C60" w14:textId="77777777" w:rsidR="00AF2C5E" w:rsidRDefault="00AF2C5E">
      <w:pPr>
        <w:pStyle w:val="J1"/>
      </w:pPr>
      <w:r>
        <w:t>The sterile water for injection used for reconstitution of the Herceptin 150 mg single-dose vials contains no benzyl alcohol.</w:t>
      </w:r>
    </w:p>
    <w:p w14:paraId="037619E3" w14:textId="77777777" w:rsidR="00AF2C5E" w:rsidRDefault="00AF2C5E">
      <w:pPr>
        <w:pStyle w:val="Heading3"/>
        <w:rPr>
          <w:iCs/>
        </w:rPr>
      </w:pPr>
      <w:r>
        <w:rPr>
          <w:iCs/>
        </w:rPr>
        <w:t>Infusion-related reactions</w:t>
      </w:r>
    </w:p>
    <w:p w14:paraId="64CBD6FB" w14:textId="77777777" w:rsidR="00AF2C5E" w:rsidRDefault="00AF2C5E">
      <w:pPr>
        <w:rPr>
          <w:rFonts w:ascii="Times New Roman" w:hAnsi="Times New Roman" w:cs="Arial"/>
          <w:szCs w:val="24"/>
          <w:lang w:bidi="he-IL"/>
        </w:rPr>
      </w:pPr>
      <w:r>
        <w:rPr>
          <w:rFonts w:ascii="Times New Roman" w:hAnsi="Times New Roman" w:cs="Arial"/>
          <w:noProof/>
          <w:szCs w:val="24"/>
          <w:lang w:bidi="he-IL"/>
        </w:rPr>
        <w:t>Sometimes serious infusion-related reactions (typical symptoms e.g. dyspnoea, hypotension, nausea, fever, bronchospasm, tachycardia, reduced oxygen saturation, urticaria and rash) have been observed in patients during treatment with Herceptin.</w:t>
      </w:r>
      <w:r>
        <w:rPr>
          <w:rFonts w:ascii="Times New Roman" w:hAnsi="Times New Roman" w:cs="Arial"/>
          <w:szCs w:val="24"/>
          <w:lang w:bidi="he-IL"/>
        </w:rPr>
        <w:t xml:space="preserve"> </w:t>
      </w:r>
      <w:r>
        <w:rPr>
          <w:rFonts w:ascii="Times New Roman" w:hAnsi="Times New Roman" w:cs="Arial"/>
          <w:noProof/>
          <w:szCs w:val="24"/>
          <w:lang w:bidi="he-IL"/>
        </w:rPr>
        <w:t>These undesirable effects can occur as part of an infusion-related reaction or as a delayed reaction.</w:t>
      </w:r>
      <w:r>
        <w:rPr>
          <w:rFonts w:ascii="Times New Roman" w:hAnsi="Times New Roman" w:cs="Arial"/>
          <w:szCs w:val="24"/>
          <w:lang w:bidi="he-IL"/>
        </w:rPr>
        <w:t xml:space="preserve"> </w:t>
      </w:r>
      <w:r>
        <w:rPr>
          <w:rFonts w:ascii="Times New Roman" w:hAnsi="Times New Roman" w:cs="Arial"/>
          <w:noProof/>
          <w:szCs w:val="24"/>
          <w:lang w:bidi="he-IL"/>
        </w:rPr>
        <w:t>Premedication may be given to reduce the risk of occurrence of infusion-related reactions.</w:t>
      </w:r>
    </w:p>
    <w:p w14:paraId="7B0339E4" w14:textId="77777777" w:rsidR="00AF2C5E" w:rsidRDefault="00AF2C5E">
      <w:pPr>
        <w:rPr>
          <w:rFonts w:ascii="Times New Roman" w:hAnsi="Times New Roman"/>
        </w:rPr>
      </w:pPr>
      <w:r>
        <w:rPr>
          <w:rFonts w:ascii="Times New Roman" w:hAnsi="Times New Roman" w:cs="Arial"/>
          <w:noProof/>
          <w:szCs w:val="24"/>
          <w:lang w:bidi="he-IL"/>
        </w:rPr>
        <w:lastRenderedPageBreak/>
        <w:t>Patients should be observed for infusion-related reactions.</w:t>
      </w:r>
      <w:r>
        <w:rPr>
          <w:rFonts w:ascii="Times New Roman" w:hAnsi="Times New Roman" w:cs="Arial"/>
          <w:szCs w:val="24"/>
          <w:lang w:bidi="he-IL"/>
        </w:rPr>
        <w:t xml:space="preserve"> </w:t>
      </w:r>
      <w:r>
        <w:rPr>
          <w:rFonts w:ascii="Times New Roman" w:hAnsi="Times New Roman" w:cs="Arial"/>
          <w:noProof/>
          <w:szCs w:val="24"/>
          <w:lang w:bidi="he-IL"/>
        </w:rPr>
        <w:t>Interruption of the infusion may help to control such symptoms.</w:t>
      </w:r>
      <w:r>
        <w:rPr>
          <w:rFonts w:ascii="Times New Roman" w:hAnsi="Times New Roman" w:cs="Arial"/>
          <w:szCs w:val="24"/>
          <w:lang w:bidi="he-IL"/>
        </w:rPr>
        <w:t xml:space="preserve"> </w:t>
      </w:r>
      <w:r>
        <w:rPr>
          <w:rFonts w:ascii="Times New Roman" w:hAnsi="Times New Roman" w:cs="Arial"/>
          <w:noProof/>
          <w:szCs w:val="24"/>
          <w:lang w:bidi="he-IL"/>
        </w:rPr>
        <w:t>The infusion can be resumed when symptoms abate.</w:t>
      </w:r>
      <w:r>
        <w:rPr>
          <w:rFonts w:ascii="Times New Roman" w:hAnsi="Times New Roman" w:cs="Arial"/>
          <w:szCs w:val="24"/>
          <w:lang w:bidi="he-IL"/>
        </w:rPr>
        <w:t xml:space="preserve"> </w:t>
      </w:r>
      <w:r>
        <w:rPr>
          <w:rFonts w:ascii="Times New Roman" w:hAnsi="Times New Roman" w:cs="Arial"/>
          <w:noProof/>
          <w:szCs w:val="24"/>
          <w:lang w:bidi="he-IL"/>
        </w:rPr>
        <w:t>These symptoms can be treated with an analgesic/antipyretic such as pethidine or paracetamol, or an antihistamine such as diphenhydramine.</w:t>
      </w:r>
      <w:r>
        <w:rPr>
          <w:rFonts w:ascii="Times New Roman" w:hAnsi="Times New Roman" w:cs="Arial"/>
          <w:szCs w:val="24"/>
          <w:lang w:bidi="he-IL"/>
        </w:rPr>
        <w:t xml:space="preserve"> </w:t>
      </w:r>
      <w:r>
        <w:rPr>
          <w:rFonts w:ascii="Times New Roman" w:hAnsi="Times New Roman" w:cs="Arial"/>
          <w:noProof/>
          <w:szCs w:val="24"/>
          <w:lang w:bidi="he-IL"/>
        </w:rPr>
        <w:t>Severe reactions have been managed successfully with symptomatic therapy, such as the administration of oxygen, beta agonists and corticosteroids.</w:t>
      </w:r>
      <w:r>
        <w:rPr>
          <w:rFonts w:ascii="Times New Roman" w:hAnsi="Times New Roman" w:cs="Arial"/>
          <w:szCs w:val="24"/>
          <w:lang w:bidi="he-IL"/>
        </w:rPr>
        <w:t xml:space="preserve"> </w:t>
      </w:r>
      <w:r>
        <w:rPr>
          <w:rFonts w:ascii="Times New Roman" w:hAnsi="Times New Roman" w:cs="Arial"/>
          <w:noProof/>
          <w:szCs w:val="24"/>
          <w:lang w:bidi="he-IL"/>
        </w:rPr>
        <w:t>In rare cases these reactions are associated with a potentially fatal clinical course.</w:t>
      </w:r>
      <w:r>
        <w:rPr>
          <w:rFonts w:ascii="Times New Roman" w:hAnsi="Times New Roman" w:cs="Arial"/>
          <w:szCs w:val="24"/>
          <w:lang w:bidi="he-IL"/>
        </w:rPr>
        <w:t xml:space="preserve"> </w:t>
      </w:r>
      <w:r>
        <w:rPr>
          <w:rFonts w:ascii="Times New Roman" w:hAnsi="Times New Roman" w:cs="Arial"/>
          <w:noProof/>
          <w:szCs w:val="24"/>
          <w:lang w:bidi="he-IL"/>
        </w:rPr>
        <w:t>Patients who suffer dyspnoea at rest due to advanced malignancy or comorbidities may be at increased risk of a fatal infusion reaction.</w:t>
      </w:r>
      <w:r>
        <w:rPr>
          <w:rFonts w:ascii="Times New Roman" w:hAnsi="Times New Roman" w:cs="Arial"/>
          <w:szCs w:val="24"/>
          <w:lang w:bidi="he-IL"/>
        </w:rPr>
        <w:t xml:space="preserve"> </w:t>
      </w:r>
      <w:r>
        <w:rPr>
          <w:rFonts w:ascii="Times New Roman" w:hAnsi="Times New Roman" w:cs="Arial"/>
          <w:noProof/>
          <w:szCs w:val="24"/>
          <w:lang w:bidi="he-IL"/>
        </w:rPr>
        <w:t>Therefore, these patients should not be treated with Herceptin (see “Contraindications”).</w:t>
      </w:r>
    </w:p>
    <w:p w14:paraId="45D0D072" w14:textId="77777777" w:rsidR="00AF2C5E" w:rsidRDefault="00AF2C5E">
      <w:pPr>
        <w:pStyle w:val="J1"/>
      </w:pPr>
      <w:r>
        <w:t>Infusion-related reactions may sometimes be clinically difficult to distinguish from hypersensitivity reactions.</w:t>
      </w:r>
    </w:p>
    <w:p w14:paraId="76D97F8D" w14:textId="77777777" w:rsidR="00AF2C5E" w:rsidRDefault="00AF2C5E">
      <w:pPr>
        <w:pStyle w:val="Heading3"/>
        <w:rPr>
          <w:iCs/>
        </w:rPr>
      </w:pPr>
      <w:r>
        <w:rPr>
          <w:iCs/>
        </w:rPr>
        <w:t>Cardiotoxicity</w:t>
      </w:r>
    </w:p>
    <w:p w14:paraId="10FF31C5" w14:textId="77777777" w:rsidR="00AF2C5E" w:rsidRDefault="00AF2C5E">
      <w:pPr>
        <w:pStyle w:val="Heading3a"/>
        <w:rPr>
          <w:iCs w:val="0"/>
        </w:rPr>
      </w:pPr>
      <w:r>
        <w:rPr>
          <w:iCs w:val="0"/>
        </w:rPr>
        <w:t>General information</w:t>
      </w:r>
    </w:p>
    <w:p w14:paraId="29251BA0" w14:textId="77777777" w:rsidR="00AF2C5E" w:rsidRDefault="00AF2C5E">
      <w:pPr>
        <w:pStyle w:val="J1"/>
      </w:pPr>
      <w:r>
        <w:t>Patients treated with Herceptin are at increased risk of developing NYHA class II</w:t>
      </w:r>
      <w:r>
        <w:noBreakHyphen/>
        <w:t>IV congestive heart failure or asymptomatic cardiac dysfunction. This has been observed during treatment with Herceptin alone or in combination with taxanes following anthracycline (doxorubicin or epirubicin) therapy. Heart failure may be moderate to severe and lead to death (see “Undesirable effects”). Caution should be exercised in treating patients with increased cardiac risk (e.g. hypertension, documented coronary artery disease, congestive heart failure, diastolic dysfunction, older age).</w:t>
      </w:r>
    </w:p>
    <w:p w14:paraId="0FA1806D" w14:textId="77777777" w:rsidR="00AF2C5E" w:rsidRDefault="00AF2C5E">
      <w:pPr>
        <w:pStyle w:val="J1"/>
      </w:pPr>
      <w:r>
        <w:t>Herceptin and anthracyclines should not be given concurrently in the metastatic breast cancer or adjuvant treatment setting. In the neoadjuvant treatment setting, concurrent administration of Herceptin and anthracyclines should be used with caution and only in chemotherapy-naïve patients (see “Contraindications”). The maximum cumulative dose of low-dose anthracycline therapy should not exceed 180 mg/m</w:t>
      </w:r>
      <w:r>
        <w:rPr>
          <w:vertAlign w:val="superscript"/>
        </w:rPr>
        <w:t>2</w:t>
      </w:r>
      <w:r>
        <w:t xml:space="preserve"> (doxorubicin) or 360 mg/m</w:t>
      </w:r>
      <w:r>
        <w:rPr>
          <w:vertAlign w:val="superscript"/>
        </w:rPr>
        <w:t>2</w:t>
      </w:r>
      <w:r>
        <w:t xml:space="preserve"> (epirubicin). If patients have been treated concurrently with low-dose anthracyclines and Herceptin in the neoadjuvant setting, no additional cytotoxic chemotherapy should be given after surgery. Clinical experience in the neoadjuvant-adjuvant setting is limited in patients above 65 years of age.</w:t>
      </w:r>
    </w:p>
    <w:p w14:paraId="41C88B06" w14:textId="77777777" w:rsidR="00AF2C5E" w:rsidRDefault="00AF2C5E">
      <w:pPr>
        <w:pStyle w:val="J1"/>
      </w:pPr>
      <w:r>
        <w:t>Most symptomatic cardiac side effects occurred within the first 18 months, regardless of the regimen employed. The cumulative incidence did not increase after 3 years. Most cases of left ventricular dysfunction improved on discontinuation of Herceptin therapy and/or initiation of cardiac medication.</w:t>
      </w:r>
    </w:p>
    <w:p w14:paraId="458A2C36" w14:textId="77777777" w:rsidR="00AF2C5E" w:rsidRDefault="00AF2C5E">
      <w:pPr>
        <w:rPr>
          <w:rFonts w:ascii="Times New Roman" w:hAnsi="Times New Roman"/>
        </w:rPr>
      </w:pPr>
      <w:r>
        <w:rPr>
          <w:rFonts w:ascii="Times New Roman" w:hAnsi="Times New Roman" w:cs="Arial"/>
          <w:noProof/>
          <w:szCs w:val="24"/>
          <w:lang w:bidi="he-IL"/>
        </w:rPr>
        <w:t>Population pharmacokinetic model simulations indicate that trastuzumab may persist in the circulation for up to 7 months after stopping treatment with intravenously or subcutaneously administered Herceptin (see “Pharmacokinetics”).</w:t>
      </w:r>
      <w:r>
        <w:rPr>
          <w:rFonts w:ascii="Times New Roman" w:hAnsi="Times New Roman" w:cs="Arial"/>
          <w:szCs w:val="24"/>
          <w:lang w:bidi="he-IL"/>
        </w:rPr>
        <w:t xml:space="preserve"> </w:t>
      </w:r>
      <w:r>
        <w:rPr>
          <w:rFonts w:ascii="Times New Roman" w:hAnsi="Times New Roman" w:cs="Arial"/>
          <w:noProof/>
          <w:szCs w:val="24"/>
          <w:lang w:bidi="he-IL"/>
        </w:rPr>
        <w:t>Patients who receive anthracyclines after stopping Herceptin are probably also at increased risk of cardiotoxicity.</w:t>
      </w:r>
    </w:p>
    <w:p w14:paraId="60CEF4F3" w14:textId="77777777" w:rsidR="00AF2C5E" w:rsidRDefault="00AF2C5E">
      <w:pPr>
        <w:pStyle w:val="J1"/>
      </w:pPr>
      <w:r>
        <w:t>If possible, anthracycline-based therapy should be avoided for up to 7 months after stopping Herceptin.</w:t>
      </w:r>
    </w:p>
    <w:p w14:paraId="7E97E63D" w14:textId="77777777" w:rsidR="00AF2C5E" w:rsidRDefault="00AF2C5E">
      <w:pPr>
        <w:pStyle w:val="J1"/>
      </w:pPr>
      <w:r>
        <w:t>Before treatment with Herceptin, especially if preceded by anthracycline therapy, patients should undergo cardiac assessment, including history and physical examination, ECG, echocardiogram and/or MUGA scan. Monitoring for early detection of patients developing cardiac dysfunction should be undertaken by cardiac assessment, as performed at baseline, every 3 months during treatment and every 6 months following discontinuation of treatment until 24 months from the last administration of Herceptin. In patients who receive anthracycline-containing chemotherapy, further monitoring is recommended and should be repeated yearly up to 5 years from the last administration of Herceptin, or longer if a continuous decrease of left ventricular ejection fraction (LVEF) is observed.</w:t>
      </w:r>
    </w:p>
    <w:p w14:paraId="2468BBCE" w14:textId="77777777" w:rsidR="00AF2C5E" w:rsidRDefault="00AF2C5E">
      <w:pPr>
        <w:rPr>
          <w:rFonts w:ascii="Times New Roman" w:hAnsi="Times New Roman" w:cs="Arial"/>
          <w:szCs w:val="24"/>
          <w:lang w:bidi="he-IL"/>
        </w:rPr>
      </w:pPr>
      <w:r>
        <w:rPr>
          <w:rFonts w:ascii="Times New Roman" w:hAnsi="Times New Roman" w:cs="Arial"/>
          <w:noProof/>
          <w:szCs w:val="24"/>
          <w:lang w:bidi="he-IL"/>
        </w:rPr>
        <w:t>If LVEF decreases 10 or more percentage points from baseline or falls below 50%, Herceptin should be suspended and a repeat LVEF assessment performed within approximately 3 weeks.</w:t>
      </w:r>
      <w:r>
        <w:rPr>
          <w:rFonts w:ascii="Times New Roman" w:hAnsi="Times New Roman" w:cs="Arial"/>
          <w:szCs w:val="24"/>
          <w:lang w:bidi="he-IL"/>
        </w:rPr>
        <w:t xml:space="preserve"> </w:t>
      </w:r>
      <w:r>
        <w:rPr>
          <w:rFonts w:ascii="Times New Roman" w:hAnsi="Times New Roman" w:cs="Arial"/>
          <w:noProof/>
          <w:szCs w:val="24"/>
          <w:lang w:bidi="he-IL"/>
        </w:rPr>
        <w:t>If LVEF has meanwhile not improved or has declined further, or if clinically significant heart failure has developed, discontinuation of Herceptin should be strongly considered, unless the individual benefit is deemed to outweigh the risks.</w:t>
      </w:r>
      <w:r>
        <w:rPr>
          <w:rFonts w:ascii="Times New Roman" w:hAnsi="Times New Roman" w:cs="Arial"/>
          <w:szCs w:val="24"/>
          <w:lang w:bidi="he-IL"/>
        </w:rPr>
        <w:t xml:space="preserve"> </w:t>
      </w:r>
      <w:r>
        <w:rPr>
          <w:rFonts w:ascii="Times New Roman" w:hAnsi="Times New Roman" w:cs="Arial"/>
          <w:noProof/>
          <w:szCs w:val="24"/>
          <w:lang w:bidi="he-IL"/>
        </w:rPr>
        <w:t>Patients who develop asymptomatic cardiac dysfunction should be monitored more frequently (e.g. every 6</w:t>
      </w:r>
      <w:r>
        <w:rPr>
          <w:rFonts w:ascii="Times New Roman" w:hAnsi="Times New Roman" w:cs="Arial"/>
          <w:noProof/>
          <w:szCs w:val="24"/>
          <w:lang w:bidi="he-IL"/>
        </w:rPr>
        <w:noBreakHyphen/>
        <w:t>8 weeks).</w:t>
      </w:r>
      <w:r>
        <w:rPr>
          <w:rFonts w:ascii="Times New Roman" w:hAnsi="Times New Roman" w:cs="Arial"/>
          <w:szCs w:val="24"/>
          <w:lang w:bidi="he-IL"/>
        </w:rPr>
        <w:t xml:space="preserve"> </w:t>
      </w:r>
      <w:r>
        <w:rPr>
          <w:rFonts w:ascii="Times New Roman" w:hAnsi="Times New Roman" w:cs="Arial"/>
          <w:noProof/>
          <w:szCs w:val="24"/>
          <w:lang w:bidi="he-IL"/>
        </w:rPr>
        <w:t>If patients show a sustained decrease in left ventricular function but remain asymptomatic, the physician should consider discontinuing therapy unless the benefit to the individual patient is deemed to outweigh the risks.</w:t>
      </w:r>
      <w:r>
        <w:rPr>
          <w:rFonts w:ascii="Times New Roman" w:hAnsi="Times New Roman" w:cs="Arial"/>
          <w:szCs w:val="24"/>
          <w:lang w:bidi="he-IL"/>
        </w:rPr>
        <w:t xml:space="preserve"> </w:t>
      </w:r>
      <w:r>
        <w:rPr>
          <w:rFonts w:ascii="Times New Roman" w:hAnsi="Times New Roman" w:cs="Arial"/>
          <w:noProof/>
          <w:szCs w:val="24"/>
          <w:lang w:bidi="he-IL"/>
        </w:rPr>
        <w:t>These patients should be referred to a cardiologist for investigation and kept under observation.</w:t>
      </w:r>
    </w:p>
    <w:p w14:paraId="60F99B3C" w14:textId="77777777" w:rsidR="00AF2C5E" w:rsidRDefault="00AF2C5E">
      <w:pPr>
        <w:pStyle w:val="J1"/>
      </w:pPr>
      <w:r>
        <w:lastRenderedPageBreak/>
        <w:t>The safety of resumption or continuation of Herceptin in patients who experience cardiac dysfunction has not been prospectively studied. If symptomatic heart failure develops during Herceptin therapy, it should be treated with the standard medications for heart failure. Most patients in the pivotal trials developing heart failure or asymptomatic cardiac dysfunction improved on treatment with angiotensin-converting enzyme (ACE) inhibitors, angiotensin receptor blockers and beta-blockers.</w:t>
      </w:r>
    </w:p>
    <w:p w14:paraId="62C53EFC" w14:textId="77777777" w:rsidR="00AF2C5E" w:rsidRDefault="00AF2C5E">
      <w:pPr>
        <w:pStyle w:val="Heading3"/>
        <w:rPr>
          <w:iCs/>
        </w:rPr>
      </w:pPr>
      <w:r>
        <w:rPr>
          <w:iCs/>
        </w:rPr>
        <w:t>Adjuvant and neoadjuvant treatment</w:t>
      </w:r>
    </w:p>
    <w:p w14:paraId="440E42DB" w14:textId="77777777" w:rsidR="00AF2C5E" w:rsidRDefault="00AF2C5E">
      <w:pPr>
        <w:pStyle w:val="J1"/>
      </w:pPr>
      <w:r>
        <w:t>Patients with a history of myocardial infarction, angina pectoris requiring medication, history of or present congestive heart failure (NYHA class II–IV), other cardiomyopathy, cardiac arrhythmia requiring medication, clinically significant cardiac valvular disease, poorly controlled hypertension (hypertension controlled by standard medication eligible), and haemodynamically effective pericardial effusion were excluded from adjuvant breast cancer clinical trials with Herceptin.</w:t>
      </w:r>
    </w:p>
    <w:p w14:paraId="7227A851" w14:textId="77777777" w:rsidR="00AF2C5E" w:rsidRDefault="00AF2C5E">
      <w:pPr>
        <w:pStyle w:val="J1"/>
      </w:pPr>
      <w:r>
        <w:t>In patients with early breast cancer an increase in the incidence of symptomatic and asymptomatic cardiac events was observed when Herceptin was administered after anthracycline-containing chemotherapy compared to treatment with a non-anthracycline regimen such as docetaxel or carboplatin. The incidence was greater when Herceptin was administered concurrently with taxanes than when administered sequentially to taxanes. Most symptomatic cardiac side effects occurred within the first 18 months, regardless of the regimen employed.</w:t>
      </w:r>
    </w:p>
    <w:p w14:paraId="767126AE" w14:textId="77777777" w:rsidR="00AF2C5E" w:rsidRDefault="00AF2C5E">
      <w:pPr>
        <w:pStyle w:val="J1"/>
      </w:pPr>
      <w:r>
        <w:t>The risk factors for cardiac events were advanced age (&gt;50 years), low level of baseline and declining LVEF (&lt;55%), low LVEF prior to or following the initiation of paclitaxel treatment, Herceptin treatment, and prior or concurrent use of antihypertensive medications. In patients receiving Herceptin after completion of adjuvant chemotherapy, the risk of cardiac dysfunction was associated with a higher cumulative dose of anthracycline given prior to initiation of Herceptin and a high body mass index (BMI &gt;25 kg/m</w:t>
      </w:r>
      <w:r>
        <w:rPr>
          <w:vertAlign w:val="superscript"/>
        </w:rPr>
        <w:t>2</w:t>
      </w:r>
      <w:r>
        <w:t>).</w:t>
      </w:r>
    </w:p>
    <w:p w14:paraId="6DE5D9C5" w14:textId="77777777" w:rsidR="00AF2C5E" w:rsidRDefault="00AF2C5E">
      <w:pPr>
        <w:pStyle w:val="Heading3"/>
        <w:rPr>
          <w:iCs/>
        </w:rPr>
      </w:pPr>
      <w:r>
        <w:rPr>
          <w:iCs/>
        </w:rPr>
        <w:t>Pulmonary reactions</w:t>
      </w:r>
    </w:p>
    <w:p w14:paraId="25E03E73" w14:textId="77777777" w:rsidR="00AF2C5E" w:rsidRDefault="00AF2C5E">
      <w:pPr>
        <w:rPr>
          <w:rFonts w:ascii="Times New Roman" w:hAnsi="Times New Roman"/>
        </w:rPr>
      </w:pPr>
      <w:r>
        <w:rPr>
          <w:rFonts w:ascii="Times New Roman" w:hAnsi="Times New Roman" w:cs="Arial"/>
          <w:noProof/>
          <w:szCs w:val="24"/>
          <w:lang w:bidi="he-IL"/>
        </w:rPr>
        <w:t>Severe pulmonary undesirable effects have been reported with the use of Herceptin in the post-marketing phase (see “Undesirable effects”).</w:t>
      </w:r>
      <w:r>
        <w:rPr>
          <w:rFonts w:ascii="Times New Roman" w:hAnsi="Times New Roman" w:cs="Arial"/>
          <w:szCs w:val="24"/>
          <w:lang w:bidi="he-IL"/>
        </w:rPr>
        <w:t xml:space="preserve"> </w:t>
      </w:r>
      <w:r>
        <w:rPr>
          <w:rFonts w:ascii="Times New Roman" w:hAnsi="Times New Roman" w:cs="Arial"/>
          <w:noProof/>
          <w:szCs w:val="24"/>
          <w:lang w:bidi="he-IL"/>
        </w:rPr>
        <w:t>These events have occasionally been fatal and may occur as part of an infusion-related reaction or with a delayed onset.</w:t>
      </w:r>
      <w:r>
        <w:rPr>
          <w:rFonts w:ascii="Times New Roman" w:hAnsi="Times New Roman" w:cs="Arial"/>
          <w:szCs w:val="24"/>
          <w:lang w:bidi="he-IL"/>
        </w:rPr>
        <w:t xml:space="preserve"> </w:t>
      </w:r>
      <w:r>
        <w:rPr>
          <w:rFonts w:ascii="Times New Roman" w:hAnsi="Times New Roman" w:cs="Arial"/>
          <w:noProof/>
          <w:szCs w:val="24"/>
          <w:lang w:bidi="he-IL"/>
        </w:rPr>
        <w:t>In addition, cases of interstitial lung disease including pulmonary infiltrates, acute respiratory distress syndrome, pneumonia, pneumonitis, pleural effusion, respiratory distress, acute pulmonary oedema and respiratory failure have been reported.</w:t>
      </w:r>
    </w:p>
    <w:p w14:paraId="26C87A33" w14:textId="77777777" w:rsidR="00AF2C5E" w:rsidRDefault="00AF2C5E">
      <w:pPr>
        <w:rPr>
          <w:rFonts w:ascii="Times New Roman" w:hAnsi="Times New Roman"/>
        </w:rPr>
      </w:pPr>
      <w:r>
        <w:rPr>
          <w:rFonts w:ascii="Times New Roman" w:hAnsi="Times New Roman" w:cs="Arial"/>
          <w:noProof/>
          <w:szCs w:val="24"/>
          <w:lang w:bidi="he-IL"/>
        </w:rPr>
        <w:t>Risk factors associated with interstitial lung disease include prior or concomitant administration of other anti-neoplastic therapies known to be associated with interstitial lung disease such as taxanes, gemcitabine, vinorelbine and radiotherapy.</w:t>
      </w:r>
      <w:r>
        <w:rPr>
          <w:rFonts w:ascii="Times New Roman" w:hAnsi="Times New Roman" w:cs="Arial"/>
          <w:szCs w:val="24"/>
          <w:lang w:bidi="he-IL"/>
        </w:rPr>
        <w:t xml:space="preserve"> </w:t>
      </w:r>
      <w:r>
        <w:rPr>
          <w:rFonts w:ascii="Times New Roman" w:hAnsi="Times New Roman" w:cs="Arial"/>
          <w:noProof/>
          <w:szCs w:val="24"/>
          <w:lang w:bidi="he-IL"/>
        </w:rPr>
        <w:t>Patients experiencing dyspnoea at rest due to complications of advanced malignancy and comorbidities may be at increased risk of pulmonary events.</w:t>
      </w:r>
      <w:r>
        <w:rPr>
          <w:rFonts w:ascii="Times New Roman" w:hAnsi="Times New Roman" w:cs="Arial"/>
          <w:szCs w:val="24"/>
          <w:lang w:bidi="he-IL"/>
        </w:rPr>
        <w:t xml:space="preserve"> </w:t>
      </w:r>
      <w:r>
        <w:rPr>
          <w:rFonts w:ascii="Times New Roman" w:hAnsi="Times New Roman" w:cs="Arial"/>
          <w:noProof/>
          <w:szCs w:val="24"/>
          <w:lang w:bidi="he-IL"/>
        </w:rPr>
        <w:t>Therefore, these patients should not be treated with Herceptin.</w:t>
      </w:r>
    </w:p>
    <w:p w14:paraId="7404C7BF" w14:textId="77777777" w:rsidR="00AF2C5E" w:rsidRDefault="00AF2C5E">
      <w:pPr>
        <w:pStyle w:val="Heading1"/>
      </w:pPr>
      <w:r>
        <w:t>Interactions</w:t>
      </w:r>
    </w:p>
    <w:p w14:paraId="766FE6B1" w14:textId="77777777" w:rsidR="00AF2C5E" w:rsidRDefault="00AF2C5E">
      <w:pPr>
        <w:pStyle w:val="J1"/>
      </w:pPr>
      <w:r>
        <w:t>There have been no formal interaction studies performed with Herceptin in humans. Clinically significant interactions between Herceptin and the concomitant medications used in clinical trials have not been observed.</w:t>
      </w:r>
    </w:p>
    <w:p w14:paraId="3DF1FB54" w14:textId="77777777" w:rsidR="00AF2C5E" w:rsidRDefault="00AF2C5E">
      <w:pPr>
        <w:pStyle w:val="Heading3"/>
        <w:rPr>
          <w:iCs/>
        </w:rPr>
      </w:pPr>
      <w:r>
        <w:rPr>
          <w:iCs/>
        </w:rPr>
        <w:t>Pharmacokinetic interactions</w:t>
      </w:r>
    </w:p>
    <w:p w14:paraId="07439611" w14:textId="77777777" w:rsidR="00AF2C5E" w:rsidRDefault="00AF2C5E">
      <w:pPr>
        <w:pStyle w:val="Heading3a"/>
        <w:rPr>
          <w:iCs w:val="0"/>
        </w:rPr>
      </w:pPr>
      <w:r>
        <w:rPr>
          <w:iCs w:val="0"/>
        </w:rPr>
        <w:t>In vivo data</w:t>
      </w:r>
    </w:p>
    <w:p w14:paraId="46E0C7C4" w14:textId="77777777" w:rsidR="00AF2C5E" w:rsidRDefault="00AF2C5E">
      <w:pPr>
        <w:pStyle w:val="J1"/>
      </w:pPr>
      <w:r>
        <w:t>In studies in which Herceptin was administered at therapeutic doses in combination with docetaxel, carboplatin or anastrozole, there was no change in the pharmacokinetics of either these drugs or trastuzumab.</w:t>
      </w:r>
    </w:p>
    <w:p w14:paraId="385C8FE2" w14:textId="77777777" w:rsidR="00AF2C5E" w:rsidRDefault="00AF2C5E">
      <w:pPr>
        <w:pStyle w:val="J1"/>
      </w:pPr>
      <w:r>
        <w:t xml:space="preserve">Concentrations of paclitaxel and doxorubicin (and of their major metabolites 6-α-hydroxyl-paclitaxel [POH] and doxorubicinol [DOL]) were unchanged in the presence of trastuzumab. However, trastuzumab may elevate the overall exposure of one doxorubicin metabolite, 7-deoxy-13-dihydro-doxorubicinone (D7D). The bioactivity of D7D and the clinical impact of the elevation of this </w:t>
      </w:r>
      <w:r>
        <w:lastRenderedPageBreak/>
        <w:t>metabolite are unclear. No changes were observed in trastuzumab concentrations in the presence of paclitaxel and doxorubicin.</w:t>
      </w:r>
    </w:p>
    <w:p w14:paraId="5208973C" w14:textId="77777777" w:rsidR="00AF2C5E" w:rsidRDefault="00AF2C5E">
      <w:pPr>
        <w:pStyle w:val="J1"/>
      </w:pPr>
      <w:r>
        <w:t>The results of a drug interaction substudy evaluating the pharmacokinetics of capecitabine and cisplatin when used with or without trastuzumab suggest that exposure to the bioactive metabolites (e.g. 5</w:t>
      </w:r>
      <w:r>
        <w:noBreakHyphen/>
        <w:t>FU) of capecitabine was not affected by concurrent use of cisplatin or of cisplatin plus trastuzumab. However, capecitabine itself showed higher concentrations and a longer half-life when combined with trastuzumab. The data also suggest that the pharmacokinetics of cisplatin were not affected by concurrent use of capecitabine or of capecitabine plus trastuzumab.</w:t>
      </w:r>
    </w:p>
    <w:p w14:paraId="2E9EB33D" w14:textId="77777777" w:rsidR="00AF2C5E" w:rsidRDefault="00AF2C5E">
      <w:pPr>
        <w:pStyle w:val="Heading1"/>
      </w:pPr>
      <w:r>
        <w:t>Pregnancy, lactation</w:t>
      </w:r>
    </w:p>
    <w:p w14:paraId="194EE7DB" w14:textId="77777777" w:rsidR="00AF2C5E" w:rsidRDefault="00AF2C5E">
      <w:pPr>
        <w:pStyle w:val="Heading3a"/>
        <w:rPr>
          <w:iCs w:val="0"/>
        </w:rPr>
      </w:pPr>
      <w:r>
        <w:rPr>
          <w:iCs w:val="0"/>
        </w:rPr>
        <w:t>Pregnancy</w:t>
      </w:r>
    </w:p>
    <w:p w14:paraId="032174FC" w14:textId="77777777" w:rsidR="00AF2C5E" w:rsidRDefault="00AF2C5E">
      <w:pPr>
        <w:rPr>
          <w:rFonts w:ascii="Times New Roman" w:hAnsi="Times New Roman"/>
        </w:rPr>
      </w:pPr>
      <w:r>
        <w:rPr>
          <w:rFonts w:ascii="Times New Roman" w:hAnsi="Times New Roman" w:cs="Arial"/>
          <w:noProof/>
          <w:szCs w:val="24"/>
          <w:lang w:bidi="he-IL"/>
        </w:rPr>
        <w:t>Women of childbearing potential should use effective contraception during treatment with Herceptin and for 7 months after treatment has concluded (see “Pharmacokinetics”).</w:t>
      </w:r>
    </w:p>
    <w:p w14:paraId="35919268" w14:textId="77777777" w:rsidR="00AF2C5E" w:rsidRDefault="00AF2C5E">
      <w:pPr>
        <w:pStyle w:val="J1"/>
      </w:pPr>
      <w:r>
        <w:t>The medicinal product has adverse pharmacological effects on pregnancy and/or the foetus and/or newborn.</w:t>
      </w:r>
    </w:p>
    <w:p w14:paraId="2CAA75BA" w14:textId="77777777" w:rsidR="00AF2C5E" w:rsidRDefault="00AF2C5E">
      <w:pPr>
        <w:pStyle w:val="J1"/>
      </w:pPr>
      <w:r>
        <w:t>Herceptin should not be administered during pregnancy unless clearly necessary, i.e. the potential benefit to the mother outweighs the potential risk to the fetus.</w:t>
      </w:r>
    </w:p>
    <w:p w14:paraId="2273382A" w14:textId="77777777" w:rsidR="00AF2C5E" w:rsidRDefault="00AF2C5E">
      <w:pPr>
        <w:pStyle w:val="J1"/>
      </w:pPr>
      <w:r>
        <w:t>In the post-marketing setting, cases of impaired fetal renal growth (e.g. renal hypoplasia) and/or function in association with oligohydramnios, some associated with fatal pulmonary hypoplasia of the fetus, have been reported in pregnant women receiving Herceptin. Women who become pregnant should be advised of the possibility of harm to the fetus. If a pregnant woman is treated with Herceptin, or if a patient becomes pregnant while receiving Herceptin or within 7 months following the last dose of Herceptin, close monitoring by a multidisciplinary team is indicated.</w:t>
      </w:r>
    </w:p>
    <w:p w14:paraId="393E63B2" w14:textId="77777777" w:rsidR="00AF2C5E" w:rsidRDefault="00AF2C5E">
      <w:pPr>
        <w:pStyle w:val="Heading3"/>
        <w:rPr>
          <w:iCs/>
        </w:rPr>
      </w:pPr>
      <w:r>
        <w:rPr>
          <w:iCs/>
        </w:rPr>
        <w:t>Lactation</w:t>
      </w:r>
    </w:p>
    <w:p w14:paraId="29838599" w14:textId="77777777" w:rsidR="00AF2C5E" w:rsidRDefault="00AF2C5E" w:rsidP="00955789">
      <w:pPr>
        <w:pStyle w:val="J1"/>
      </w:pPr>
      <w:r w:rsidRPr="00955789">
        <w:t>A study in which cynomolgus monkeys received doses 25 times the weekly human maintenance dose of 2 mg/kg Herceptin i.v. from day 120 to 150 of gestation demonstrated that trastuzumab is secreted in the milk post partum. Trastuzumab exposure in utero and the presence of trastuzumab in the serum of infant monkeys were not associated with adverse effects on their growth or development from birth to 1 month of age.</w:t>
      </w:r>
    </w:p>
    <w:p w14:paraId="35A90192" w14:textId="77777777" w:rsidR="00AF2C5E" w:rsidRDefault="00AF2C5E">
      <w:pPr>
        <w:pStyle w:val="J1"/>
      </w:pPr>
      <w:r>
        <w:t>It is not known whether trastuzumab is secreted in human milk. Nevertheless, as human IgG passes from serum into breast milk and the potential for harm to the infant is unknown, women should not breastfeed during Herceptin therapy.</w:t>
      </w:r>
    </w:p>
    <w:p w14:paraId="2FAE005A" w14:textId="77777777" w:rsidR="00AF2C5E" w:rsidRDefault="00AF2C5E">
      <w:pPr>
        <w:pStyle w:val="Heading3"/>
        <w:rPr>
          <w:iCs/>
        </w:rPr>
      </w:pPr>
      <w:r>
        <w:rPr>
          <w:iCs/>
        </w:rPr>
        <w:t>Fertility</w:t>
      </w:r>
    </w:p>
    <w:p w14:paraId="41504D05" w14:textId="77777777" w:rsidR="00AF2C5E" w:rsidRDefault="00AF2C5E">
      <w:pPr>
        <w:pStyle w:val="J1"/>
      </w:pPr>
      <w:r>
        <w:t>Whether Herceptin can impair reproductive capacity when administered to pregnant women is unknown.</w:t>
      </w:r>
    </w:p>
    <w:p w14:paraId="40A787DE" w14:textId="77777777" w:rsidR="00AF2C5E" w:rsidRDefault="00AF2C5E">
      <w:pPr>
        <w:pStyle w:val="J1"/>
      </w:pPr>
      <w:r>
        <w:t>Reproduction studies have been conducted in cynomolgus monkeys at doses up to 25 times the weekly human maintenance dose of 2 mg/kg body weight Herceptin. Placental transfer of trastuzumab during the early (days 20</w:t>
      </w:r>
      <w:r>
        <w:noBreakHyphen/>
        <w:t>50 of gestation) and late (days 120</w:t>
      </w:r>
      <w:r>
        <w:noBreakHyphen/>
        <w:t>150 of gestation) fetal development period was observed. However, the studies revealed no evidence of harm to the fetuses or impaired fertility.</w:t>
      </w:r>
    </w:p>
    <w:p w14:paraId="76141B53" w14:textId="77777777" w:rsidR="00AF2C5E" w:rsidRDefault="00AF2C5E">
      <w:pPr>
        <w:pStyle w:val="Heading1"/>
      </w:pPr>
      <w:r>
        <w:t>Effects on ability to drive and use machines</w:t>
      </w:r>
    </w:p>
    <w:p w14:paraId="7C692A85" w14:textId="77777777" w:rsidR="00AF2C5E" w:rsidRDefault="00AF2C5E">
      <w:pPr>
        <w:pStyle w:val="J1"/>
      </w:pPr>
      <w:r w:rsidRPr="00955789">
        <w:t>Herceptin has a minor influence on the ability to drive and use machines. Dizziness and somnolence may occur during treatment with Herceptin (see “Undesirable effects”). Patients experiencing infusion-related symptoms (see “Warnings and precautions”) should be advised not to drive or use machines until their symptoms have fully resolved.</w:t>
      </w:r>
    </w:p>
    <w:p w14:paraId="69913BC1" w14:textId="77777777" w:rsidR="00AF2C5E" w:rsidRDefault="00AF2C5E">
      <w:pPr>
        <w:pStyle w:val="Heading1"/>
      </w:pPr>
      <w:r>
        <w:t>Undesirable effects</w:t>
      </w:r>
    </w:p>
    <w:p w14:paraId="03AE5CAB" w14:textId="77777777" w:rsidR="00AF2C5E" w:rsidRDefault="00AF2C5E">
      <w:pPr>
        <w:rPr>
          <w:rFonts w:ascii="Times New Roman" w:hAnsi="Times New Roman"/>
        </w:rPr>
      </w:pPr>
      <w:r>
        <w:rPr>
          <w:rFonts w:ascii="Times New Roman" w:hAnsi="Times New Roman" w:cs="Arial"/>
          <w:noProof/>
          <w:szCs w:val="24"/>
          <w:lang w:bidi="he-IL"/>
        </w:rPr>
        <w:t>The most serious and/or frequently reported undesirable effects during treatment with Herceptin are cardiotoxicity, infusion reactions, haematotoxicity (especially neutropenia), infections and pulmonary adverse events.</w:t>
      </w:r>
    </w:p>
    <w:p w14:paraId="5325C1C5" w14:textId="77777777" w:rsidR="00AF2C5E" w:rsidRDefault="00AF2C5E">
      <w:pPr>
        <w:pStyle w:val="J1"/>
      </w:pPr>
      <w:r>
        <w:lastRenderedPageBreak/>
        <w:t>NYHA class II</w:t>
      </w:r>
      <w:r>
        <w:noBreakHyphen/>
        <w:t>IV cardiotoxicity (heart failure) is a common undesirable effect during treatment with Herceptin and may be fatal in some cases (see “Warnings and precautions”).</w:t>
      </w:r>
    </w:p>
    <w:p w14:paraId="6A877E80" w14:textId="77777777" w:rsidR="00AF2C5E" w:rsidRDefault="00AF2C5E">
      <w:pPr>
        <w:pStyle w:val="J1"/>
      </w:pPr>
      <w:r>
        <w:t>An estimated 49-54% (MBC) and 18-54% (EBC) of patients treated with Herceptin will experience infusion-related reactions of any kind. However, most of these infusion-related undesirable effects are of mild to moderate severity (based on NCI-CTC criteria) and occur mainly in the first treatments, particularly during the first three infusions and with decreasing frequency in subsequent infusions. Reactions include chills, fever, nausea, urticaria, rash, dyspnoea, bronchospasm, tachycardia and hypotension (see “Warnings and precautions”).</w:t>
      </w:r>
    </w:p>
    <w:p w14:paraId="6B0CEFD4" w14:textId="77777777" w:rsidR="00AF2C5E" w:rsidRDefault="00AF2C5E">
      <w:pPr>
        <w:pStyle w:val="J1"/>
      </w:pPr>
      <w:r>
        <w:t>Serious anaphylactic reactions necessitating immediate additional intervention occur very rarely and normally during the first or second infusion of Herceptin (see “Warnings and precautions”).</w:t>
      </w:r>
    </w:p>
    <w:p w14:paraId="6A599777" w14:textId="77777777" w:rsidR="00AF2C5E" w:rsidRDefault="00AF2C5E">
      <w:pPr>
        <w:rPr>
          <w:rFonts w:ascii="Times New Roman" w:hAnsi="Times New Roman"/>
        </w:rPr>
      </w:pPr>
      <w:r>
        <w:rPr>
          <w:rFonts w:ascii="Times New Roman" w:hAnsi="Times New Roman" w:cs="Arial"/>
          <w:noProof/>
          <w:szCs w:val="24"/>
          <w:lang w:bidi="he-IL"/>
        </w:rPr>
        <w:t>Leukopenia, febrile neutropenia, anaemia and thrombocytopenia are very common.</w:t>
      </w:r>
      <w:r>
        <w:rPr>
          <w:rFonts w:ascii="Times New Roman" w:hAnsi="Times New Roman" w:cs="Arial"/>
          <w:szCs w:val="24"/>
          <w:lang w:bidi="he-IL"/>
        </w:rPr>
        <w:t xml:space="preserve"> </w:t>
      </w:r>
      <w:r>
        <w:rPr>
          <w:rFonts w:ascii="Times New Roman" w:hAnsi="Times New Roman" w:cs="Arial"/>
          <w:noProof/>
          <w:szCs w:val="24"/>
          <w:lang w:bidi="he-IL"/>
        </w:rPr>
        <w:t>Frequently occurring adverse events include neutropenia.</w:t>
      </w:r>
      <w:r>
        <w:rPr>
          <w:rFonts w:ascii="Times New Roman" w:hAnsi="Times New Roman" w:cs="Arial"/>
          <w:szCs w:val="24"/>
          <w:lang w:bidi="he-IL"/>
        </w:rPr>
        <w:t xml:space="preserve"> </w:t>
      </w:r>
      <w:r>
        <w:rPr>
          <w:rFonts w:ascii="Times New Roman" w:hAnsi="Times New Roman" w:cs="Arial"/>
          <w:noProof/>
          <w:szCs w:val="24"/>
          <w:lang w:bidi="he-IL"/>
        </w:rPr>
        <w:t>The frequency of hypoprothrombinaemia is unknown.</w:t>
      </w:r>
    </w:p>
    <w:p w14:paraId="0A14AF63" w14:textId="77777777" w:rsidR="00AF2C5E" w:rsidRDefault="00AF2C5E">
      <w:pPr>
        <w:rPr>
          <w:rFonts w:ascii="Times New Roman" w:hAnsi="Times New Roman"/>
        </w:rPr>
      </w:pPr>
      <w:r>
        <w:rPr>
          <w:rFonts w:ascii="Times New Roman" w:hAnsi="Times New Roman" w:cs="Arial"/>
          <w:noProof/>
          <w:szCs w:val="24"/>
          <w:lang w:bidi="he-IL"/>
        </w:rPr>
        <w:t>Serious pulmonary undesirable effects occur rarely during treatment with Herceptin, but have occasionally been associated with fatal outcome.</w:t>
      </w:r>
      <w:r>
        <w:rPr>
          <w:rFonts w:ascii="Times New Roman" w:hAnsi="Times New Roman" w:cs="Arial"/>
          <w:szCs w:val="24"/>
          <w:lang w:bidi="he-IL"/>
        </w:rPr>
        <w:t xml:space="preserve"> </w:t>
      </w:r>
      <w:r>
        <w:rPr>
          <w:rFonts w:ascii="Times New Roman" w:hAnsi="Times New Roman" w:cs="Arial"/>
          <w:noProof/>
          <w:szCs w:val="24"/>
          <w:lang w:bidi="he-IL"/>
        </w:rPr>
        <w:t>They include pulmonary infiltrates, acute respiratory distress syndrome, pneumonia, pneumonitis, pleural effusion, respiratory distress, acute pulmonary oedema and respiratory failure (see “Warnings and precautions”).</w:t>
      </w:r>
    </w:p>
    <w:p w14:paraId="569925CE" w14:textId="77777777" w:rsidR="00AF2C5E" w:rsidRDefault="00AF2C5E">
      <w:pPr>
        <w:pStyle w:val="Heading2"/>
        <w:rPr>
          <w:rFonts w:ascii="Times New Roman" w:hAnsi="Times New Roman" w:cs="Arial"/>
          <w:bCs w:val="0"/>
          <w:szCs w:val="24"/>
        </w:rPr>
      </w:pPr>
      <w:r>
        <w:rPr>
          <w:rFonts w:ascii="Times New Roman" w:hAnsi="Times New Roman" w:cs="Arial"/>
          <w:bCs w:val="0"/>
          <w:noProof/>
          <w:szCs w:val="24"/>
        </w:rPr>
        <w:t>List of undesirable effects</w:t>
      </w:r>
    </w:p>
    <w:p w14:paraId="4C4C3C8E" w14:textId="77777777" w:rsidR="00AF2C5E" w:rsidRDefault="00AF2C5E">
      <w:pPr>
        <w:pStyle w:val="J1"/>
      </w:pPr>
      <w:r>
        <w:t>The frequency categories are listed using MedDRA terminology: very common (≥1/10), common (≥1/100 to &lt;1/10), uncommon (≥1/1000 to &lt;1/100), rare (≥1/10,000 to &lt;1/1000), very rare (&lt;1/10,000), not known (cannot be estimated from the available data).</w:t>
      </w:r>
    </w:p>
    <w:p w14:paraId="23BC02EE" w14:textId="77777777" w:rsidR="00AF2C5E" w:rsidRDefault="00AF2C5E">
      <w:pPr>
        <w:pStyle w:val="J1"/>
      </w:pPr>
      <w:r>
        <w:t>Adverse drug reactions and adverse events reported with the use of intravenous Herceptin alone or in combination with chemotherapy in pivotal clinical trials and in in the post-marketing setting are listed below.</w:t>
      </w:r>
    </w:p>
    <w:p w14:paraId="7EC93B26" w14:textId="77777777" w:rsidR="00AF2C5E" w:rsidRDefault="00AF2C5E">
      <w:pPr>
        <w:pStyle w:val="J1"/>
      </w:pPr>
      <w:r>
        <w:t>The frequency statements relate to the maximum percentage frequencies of adverse reactions observed in pivotal clinical trials.</w:t>
      </w:r>
    </w:p>
    <w:p w14:paraId="08EF2714" w14:textId="77777777" w:rsidR="00AF2C5E" w:rsidRPr="00955789" w:rsidRDefault="00AF2C5E">
      <w:pPr>
        <w:pStyle w:val="Heading2"/>
        <w:rPr>
          <w:rFonts w:ascii="Times New Roman" w:hAnsi="Times New Roman" w:cs="Arial"/>
          <w:bCs w:val="0"/>
          <w:szCs w:val="24"/>
        </w:rPr>
      </w:pPr>
      <w:r w:rsidRPr="00955789">
        <w:rPr>
          <w:rFonts w:ascii="Times New Roman" w:hAnsi="Times New Roman" w:cs="Arial"/>
          <w:bCs w:val="0"/>
          <w:noProof/>
          <w:szCs w:val="24"/>
        </w:rPr>
        <w:t>Infections and infestations</w:t>
      </w:r>
      <w:r w:rsidRPr="00955789">
        <w:rPr>
          <w:rStyle w:val="FootnoteReference"/>
          <w:rFonts w:ascii="Times New Roman" w:hAnsi="Times New Roman" w:cs="Arial"/>
          <w:bCs w:val="0"/>
          <w:noProof/>
          <w:szCs w:val="24"/>
        </w:rPr>
        <w:footnoteReference w:id="2"/>
      </w:r>
    </w:p>
    <w:p w14:paraId="59BAF0EC" w14:textId="77777777" w:rsidR="00AF2C5E" w:rsidRPr="00955789" w:rsidRDefault="00AF2C5E">
      <w:pPr>
        <w:pStyle w:val="J1"/>
      </w:pPr>
      <w:r w:rsidRPr="00955789">
        <w:rPr>
          <w:i/>
        </w:rPr>
        <w:t>Very common</w:t>
      </w:r>
      <w:r w:rsidRPr="00955789">
        <w:t>: Infection (24%), nasopharyngitis (17%)</w:t>
      </w:r>
    </w:p>
    <w:p w14:paraId="73B97296" w14:textId="77777777" w:rsidR="00AF2C5E" w:rsidRPr="00955789" w:rsidRDefault="00AF2C5E" w:rsidP="000D6FAD">
      <w:pPr>
        <w:pStyle w:val="J1"/>
      </w:pPr>
      <w:r w:rsidRPr="00955789">
        <w:rPr>
          <w:i/>
        </w:rPr>
        <w:t>Common</w:t>
      </w:r>
      <w:r w:rsidRPr="00955789">
        <w:t>: Cystitis, influenza, pharyngitis, skin infection, sinusitis, rhinitis, upper respiratory tract infection, urinary tract infection, neutropenic sepsis</w:t>
      </w:r>
    </w:p>
    <w:p w14:paraId="2C6DD111" w14:textId="77777777" w:rsidR="00AF2C5E" w:rsidRPr="00955789" w:rsidRDefault="00AF2C5E">
      <w:pPr>
        <w:pStyle w:val="J1"/>
      </w:pPr>
      <w:r w:rsidRPr="00955789">
        <w:rPr>
          <w:i/>
        </w:rPr>
        <w:t>Frequency not known</w:t>
      </w:r>
      <w:r w:rsidRPr="00955789">
        <w:t>: Meningitis, bronchitis</w:t>
      </w:r>
    </w:p>
    <w:p w14:paraId="0BFA344C" w14:textId="77777777" w:rsidR="00AF2C5E" w:rsidRPr="00955789" w:rsidRDefault="00AF2C5E">
      <w:pPr>
        <w:pStyle w:val="Heading2"/>
        <w:rPr>
          <w:rFonts w:ascii="Times New Roman" w:hAnsi="Times New Roman" w:cs="Arial"/>
          <w:bCs w:val="0"/>
          <w:szCs w:val="24"/>
        </w:rPr>
      </w:pPr>
      <w:r w:rsidRPr="00955789">
        <w:rPr>
          <w:rFonts w:ascii="Times New Roman" w:hAnsi="Times New Roman" w:cs="Arial"/>
          <w:bCs w:val="0"/>
          <w:noProof/>
          <w:szCs w:val="24"/>
        </w:rPr>
        <w:t>Benign, malignant and unspecified neoplasms (including cysts and polyps)</w:t>
      </w:r>
    </w:p>
    <w:p w14:paraId="18B50727" w14:textId="77777777" w:rsidR="00AF2C5E" w:rsidRPr="00955789" w:rsidRDefault="00AF2C5E">
      <w:pPr>
        <w:pStyle w:val="J1"/>
      </w:pPr>
      <w:r w:rsidRPr="00955789">
        <w:rPr>
          <w:i/>
        </w:rPr>
        <w:t>Frequency not known</w:t>
      </w:r>
      <w:r w:rsidRPr="00955789">
        <w:t>: Progressive malignant neoplasia, progressive neoplasia</w:t>
      </w:r>
    </w:p>
    <w:p w14:paraId="73E017D7" w14:textId="77777777" w:rsidR="00AF2C5E" w:rsidRPr="00955789" w:rsidRDefault="00AF2C5E">
      <w:pPr>
        <w:pStyle w:val="Heading2"/>
        <w:rPr>
          <w:rFonts w:ascii="Times New Roman" w:hAnsi="Times New Roman" w:cs="Arial"/>
          <w:bCs w:val="0"/>
          <w:szCs w:val="24"/>
        </w:rPr>
      </w:pPr>
      <w:r w:rsidRPr="00955789">
        <w:rPr>
          <w:rFonts w:ascii="Times New Roman" w:hAnsi="Times New Roman" w:cs="Arial"/>
          <w:bCs w:val="0"/>
          <w:noProof/>
          <w:szCs w:val="24"/>
        </w:rPr>
        <w:t>Blood and lymphatic system disorders</w:t>
      </w:r>
    </w:p>
    <w:p w14:paraId="76FF878B" w14:textId="77777777" w:rsidR="00AF2C5E" w:rsidRPr="00955789" w:rsidRDefault="00AF2C5E">
      <w:pPr>
        <w:pStyle w:val="J1"/>
      </w:pPr>
      <w:r w:rsidRPr="00955789">
        <w:rPr>
          <w:i/>
        </w:rPr>
        <w:t>Very common</w:t>
      </w:r>
      <w:r w:rsidRPr="00955789">
        <w:t>: Neutropenia (47%), anaemia (28%), * febrile neutropenia (23%), thrombocytopenia (16%), leukopenia (15%)</w:t>
      </w:r>
    </w:p>
    <w:p w14:paraId="43FFC3D3" w14:textId="77777777" w:rsidR="00AF2C5E" w:rsidRPr="00955789" w:rsidRDefault="00AF2C5E">
      <w:pPr>
        <w:pStyle w:val="J1"/>
      </w:pPr>
      <w:r w:rsidRPr="00955789">
        <w:rPr>
          <w:i/>
        </w:rPr>
        <w:t>Frequency not known</w:t>
      </w:r>
      <w:r w:rsidRPr="00955789">
        <w:t>: Hypoprothrombinaemia, leukaemia, immune thrombocytopenia</w:t>
      </w:r>
    </w:p>
    <w:p w14:paraId="460857E2" w14:textId="77777777" w:rsidR="00AF2C5E" w:rsidRPr="00955789" w:rsidRDefault="00AF2C5E">
      <w:pPr>
        <w:pStyle w:val="Heading2"/>
        <w:rPr>
          <w:rFonts w:ascii="Times New Roman" w:hAnsi="Times New Roman" w:cs="Arial"/>
          <w:bCs w:val="0"/>
          <w:szCs w:val="24"/>
        </w:rPr>
      </w:pPr>
      <w:r w:rsidRPr="00955789">
        <w:rPr>
          <w:rFonts w:ascii="Times New Roman" w:hAnsi="Times New Roman" w:cs="Arial"/>
          <w:bCs w:val="0"/>
          <w:noProof/>
          <w:szCs w:val="24"/>
        </w:rPr>
        <w:t>Immune system disorders</w:t>
      </w:r>
    </w:p>
    <w:p w14:paraId="492057F6" w14:textId="77777777" w:rsidR="00AF2C5E" w:rsidRPr="00955789" w:rsidRDefault="00AF2C5E">
      <w:pPr>
        <w:pStyle w:val="J1"/>
      </w:pPr>
      <w:r w:rsidRPr="00955789">
        <w:rPr>
          <w:i/>
        </w:rPr>
        <w:t>Common</w:t>
      </w:r>
      <w:r w:rsidRPr="00955789">
        <w:t>: Hypersensitivity</w:t>
      </w:r>
    </w:p>
    <w:p w14:paraId="78DB508E" w14:textId="77777777" w:rsidR="00AF2C5E" w:rsidRPr="00955789" w:rsidRDefault="00AF2C5E">
      <w:pPr>
        <w:pStyle w:val="J1"/>
      </w:pPr>
      <w:r w:rsidRPr="00955789">
        <w:rPr>
          <w:i/>
        </w:rPr>
        <w:t>Rare</w:t>
      </w:r>
      <w:r w:rsidRPr="00955789">
        <w:t>: Anaphylactic reaction, anaphylactic shock</w:t>
      </w:r>
    </w:p>
    <w:p w14:paraId="10AE4FC6" w14:textId="77777777" w:rsidR="00AF2C5E" w:rsidRPr="00955789" w:rsidRDefault="00AF2C5E">
      <w:pPr>
        <w:pStyle w:val="Heading2"/>
        <w:rPr>
          <w:rFonts w:ascii="Times New Roman" w:hAnsi="Times New Roman" w:cs="Arial"/>
          <w:bCs w:val="0"/>
          <w:szCs w:val="24"/>
        </w:rPr>
      </w:pPr>
      <w:r w:rsidRPr="00955789">
        <w:rPr>
          <w:rFonts w:ascii="Times New Roman" w:hAnsi="Times New Roman" w:cs="Arial"/>
          <w:bCs w:val="0"/>
          <w:noProof/>
          <w:szCs w:val="24"/>
        </w:rPr>
        <w:t>Metabolism and nutrition disorders</w:t>
      </w:r>
    </w:p>
    <w:p w14:paraId="0A371FE5" w14:textId="77777777" w:rsidR="00AF2C5E" w:rsidRPr="00955789" w:rsidRDefault="00AF2C5E">
      <w:pPr>
        <w:pStyle w:val="J1"/>
      </w:pPr>
      <w:r w:rsidRPr="00955789">
        <w:rPr>
          <w:i/>
        </w:rPr>
        <w:t>Very common</w:t>
      </w:r>
      <w:r w:rsidRPr="00955789">
        <w:t>: Anorexia (46%), weight loss (23%), decreased appetite (20%), weight gain (15%)</w:t>
      </w:r>
    </w:p>
    <w:p w14:paraId="7FCF5A2C" w14:textId="77777777" w:rsidR="00AF2C5E" w:rsidRPr="00955789" w:rsidRDefault="00AF2C5E">
      <w:pPr>
        <w:pStyle w:val="J1"/>
      </w:pPr>
      <w:r w:rsidRPr="00955789">
        <w:rPr>
          <w:i/>
        </w:rPr>
        <w:t>Frequency not known</w:t>
      </w:r>
      <w:r w:rsidRPr="00955789">
        <w:t>: Hyperkalaemia, tumour lysis syndrome</w:t>
      </w:r>
    </w:p>
    <w:p w14:paraId="50C33CD9" w14:textId="77777777" w:rsidR="00AF2C5E" w:rsidRPr="00955789" w:rsidRDefault="00AF2C5E">
      <w:pPr>
        <w:pStyle w:val="Heading2"/>
        <w:rPr>
          <w:rFonts w:ascii="Times New Roman" w:hAnsi="Times New Roman" w:cs="Arial"/>
          <w:bCs w:val="0"/>
          <w:szCs w:val="24"/>
        </w:rPr>
      </w:pPr>
      <w:r w:rsidRPr="00955789">
        <w:rPr>
          <w:rFonts w:ascii="Times New Roman" w:hAnsi="Times New Roman" w:cs="Arial"/>
          <w:bCs w:val="0"/>
          <w:noProof/>
          <w:szCs w:val="24"/>
        </w:rPr>
        <w:lastRenderedPageBreak/>
        <w:t>Psychiatric disorders</w:t>
      </w:r>
    </w:p>
    <w:p w14:paraId="6D023C34" w14:textId="77777777" w:rsidR="00AF2C5E" w:rsidRPr="00955789" w:rsidRDefault="00AF2C5E">
      <w:pPr>
        <w:pStyle w:val="J1"/>
      </w:pPr>
      <w:r w:rsidRPr="00955789">
        <w:rPr>
          <w:i/>
        </w:rPr>
        <w:t>Very common</w:t>
      </w:r>
      <w:r w:rsidRPr="00955789">
        <w:t>: Insomnia (11%)</w:t>
      </w:r>
    </w:p>
    <w:p w14:paraId="09CC7BE6" w14:textId="77777777" w:rsidR="00AF2C5E" w:rsidRPr="00955789" w:rsidRDefault="00AF2C5E">
      <w:pPr>
        <w:pStyle w:val="J1"/>
      </w:pPr>
      <w:r w:rsidRPr="00955789">
        <w:rPr>
          <w:i/>
        </w:rPr>
        <w:t>Common</w:t>
      </w:r>
      <w:r w:rsidRPr="00955789">
        <w:t>: Depression, anxiety</w:t>
      </w:r>
    </w:p>
    <w:p w14:paraId="04B9D457" w14:textId="77777777" w:rsidR="00AF2C5E" w:rsidRPr="00955789" w:rsidRDefault="00AF2C5E">
      <w:pPr>
        <w:pStyle w:val="J1"/>
      </w:pPr>
      <w:r w:rsidRPr="00955789">
        <w:rPr>
          <w:i/>
        </w:rPr>
        <w:t>Frequency not known</w:t>
      </w:r>
      <w:r w:rsidRPr="00955789">
        <w:t>: Lethargy, paraneoplastic cerebellar degeneration</w:t>
      </w:r>
    </w:p>
    <w:p w14:paraId="6813C068" w14:textId="77777777" w:rsidR="00AF2C5E" w:rsidRPr="00955789" w:rsidRDefault="00AF2C5E">
      <w:pPr>
        <w:pStyle w:val="Heading2"/>
        <w:rPr>
          <w:rFonts w:ascii="Times New Roman" w:hAnsi="Times New Roman" w:cs="Arial"/>
          <w:bCs w:val="0"/>
          <w:szCs w:val="24"/>
        </w:rPr>
      </w:pPr>
      <w:r w:rsidRPr="00955789">
        <w:rPr>
          <w:rFonts w:ascii="Times New Roman" w:hAnsi="Times New Roman" w:cs="Arial"/>
          <w:bCs w:val="0"/>
          <w:noProof/>
          <w:szCs w:val="24"/>
        </w:rPr>
        <w:t>Nervous system disorders</w:t>
      </w:r>
    </w:p>
    <w:p w14:paraId="58C93577" w14:textId="77777777" w:rsidR="00AF2C5E" w:rsidRPr="00955789" w:rsidRDefault="00AF2C5E">
      <w:pPr>
        <w:pStyle w:val="J1"/>
      </w:pPr>
      <w:r w:rsidRPr="00955789">
        <w:rPr>
          <w:i/>
        </w:rPr>
        <w:t>Very common</w:t>
      </w:r>
      <w:r w:rsidRPr="00955789">
        <w:t xml:space="preserve">: Paraesthesia (50%), headache (25%), dizziness (21%), dysgeusia (19%), hypoaesthesia (11%), </w:t>
      </w:r>
      <w:r w:rsidRPr="00955789">
        <w:rPr>
          <w:vertAlign w:val="superscript"/>
        </w:rPr>
        <w:t>$</w:t>
      </w:r>
      <w:r w:rsidRPr="00955789">
        <w:t>tremor</w:t>
      </w:r>
    </w:p>
    <w:p w14:paraId="3A14EE59" w14:textId="77777777" w:rsidR="00AF2C5E" w:rsidRPr="00955789" w:rsidRDefault="00AF2C5E">
      <w:pPr>
        <w:pStyle w:val="J1"/>
      </w:pPr>
      <w:r w:rsidRPr="00955789">
        <w:rPr>
          <w:i/>
        </w:rPr>
        <w:t>Common</w:t>
      </w:r>
      <w:r w:rsidRPr="00955789">
        <w:t>: Taste impairment, increased muscle tone (hypertonia), peripheral neuropathy, light-headedness, somnolence</w:t>
      </w:r>
    </w:p>
    <w:p w14:paraId="5008972F" w14:textId="77777777" w:rsidR="00AF2C5E" w:rsidRDefault="00AF2C5E">
      <w:pPr>
        <w:pStyle w:val="J1"/>
      </w:pPr>
      <w:r w:rsidRPr="00955789">
        <w:rPr>
          <w:i/>
        </w:rPr>
        <w:t>Frequency not known</w:t>
      </w:r>
      <w:r w:rsidRPr="00955789">
        <w:t>: Lethargy, coma, cerebrovascular disorders</w:t>
      </w:r>
    </w:p>
    <w:p w14:paraId="749CD185" w14:textId="77777777" w:rsidR="00AF2C5E" w:rsidRDefault="00AF2C5E">
      <w:pPr>
        <w:pStyle w:val="Heading2"/>
        <w:rPr>
          <w:rFonts w:ascii="Times New Roman" w:hAnsi="Times New Roman"/>
        </w:rPr>
      </w:pPr>
      <w:r>
        <w:rPr>
          <w:rFonts w:ascii="Times New Roman" w:hAnsi="Times New Roman"/>
        </w:rPr>
        <w:t>Eye disorders</w:t>
      </w:r>
    </w:p>
    <w:p w14:paraId="3F1EC74A" w14:textId="77777777" w:rsidR="00AF2C5E" w:rsidRDefault="00AF2C5E">
      <w:pPr>
        <w:pStyle w:val="J1"/>
      </w:pPr>
      <w:r>
        <w:rPr>
          <w:i/>
        </w:rPr>
        <w:t>Very common</w:t>
      </w:r>
      <w:r>
        <w:t>: Conjunctivitis (38%), increased lacrimation (21%)</w:t>
      </w:r>
    </w:p>
    <w:p w14:paraId="1AD031FC" w14:textId="77777777" w:rsidR="00AF2C5E" w:rsidRDefault="00AF2C5E" w:rsidP="00955789">
      <w:pPr>
        <w:pStyle w:val="J1"/>
      </w:pPr>
      <w:r>
        <w:rPr>
          <w:i/>
        </w:rPr>
        <w:t>Common</w:t>
      </w:r>
      <w:r>
        <w:t>: Dry eye</w:t>
      </w:r>
    </w:p>
    <w:p w14:paraId="401A4AB1" w14:textId="77777777" w:rsidR="00AF2C5E" w:rsidRDefault="00AF2C5E">
      <w:pPr>
        <w:pStyle w:val="J1"/>
      </w:pPr>
      <w:r>
        <w:rPr>
          <w:i/>
        </w:rPr>
        <w:t>Frequency not known</w:t>
      </w:r>
      <w:r>
        <w:t>: Papilloedema, retinal haemorrhage, madarosis</w:t>
      </w:r>
    </w:p>
    <w:p w14:paraId="4BB04057" w14:textId="77777777" w:rsidR="00AF2C5E" w:rsidRDefault="00AF2C5E">
      <w:pPr>
        <w:pStyle w:val="Heading2"/>
        <w:rPr>
          <w:rFonts w:ascii="Times New Roman" w:hAnsi="Times New Roman" w:cs="Arial"/>
          <w:bCs w:val="0"/>
          <w:szCs w:val="24"/>
        </w:rPr>
      </w:pPr>
      <w:r>
        <w:rPr>
          <w:rFonts w:ascii="Times New Roman" w:hAnsi="Times New Roman" w:cs="Arial"/>
          <w:bCs w:val="0"/>
          <w:noProof/>
          <w:szCs w:val="24"/>
        </w:rPr>
        <w:t>Ear and labyrinth disorders</w:t>
      </w:r>
    </w:p>
    <w:p w14:paraId="43A133DB" w14:textId="77777777" w:rsidR="00AF2C5E" w:rsidRDefault="00AF2C5E">
      <w:pPr>
        <w:pStyle w:val="J1"/>
      </w:pPr>
      <w:r>
        <w:rPr>
          <w:i/>
        </w:rPr>
        <w:t>Uncommon</w:t>
      </w:r>
      <w:r>
        <w:t>: Deafness</w:t>
      </w:r>
    </w:p>
    <w:p w14:paraId="1A4F21C4" w14:textId="77777777" w:rsidR="00AF2C5E" w:rsidRDefault="00AF2C5E">
      <w:pPr>
        <w:keepNext/>
        <w:spacing w:before="240"/>
        <w:rPr>
          <w:rFonts w:ascii="Times New Roman" w:hAnsi="Times New Roman"/>
          <w:b/>
        </w:rPr>
      </w:pPr>
      <w:r>
        <w:rPr>
          <w:rFonts w:ascii="Times New Roman" w:hAnsi="Times New Roman"/>
          <w:b/>
        </w:rPr>
        <w:t>Cardiac disorders*</w:t>
      </w:r>
    </w:p>
    <w:p w14:paraId="68CF216F" w14:textId="77777777" w:rsidR="00AF2C5E" w:rsidRPr="00955789" w:rsidRDefault="00AF2C5E">
      <w:pPr>
        <w:spacing w:before="60"/>
        <w:jc w:val="both"/>
        <w:rPr>
          <w:rFonts w:ascii="Times New Roman" w:hAnsi="Times New Roman"/>
        </w:rPr>
      </w:pPr>
      <w:r w:rsidRPr="00955789">
        <w:rPr>
          <w:rFonts w:ascii="Times New Roman" w:hAnsi="Times New Roman"/>
          <w:i/>
        </w:rPr>
        <w:t>Very common</w:t>
      </w:r>
      <w:r w:rsidRPr="00955789">
        <w:rPr>
          <w:rFonts w:ascii="Times New Roman" w:hAnsi="Times New Roman"/>
        </w:rPr>
        <w:t>:</w:t>
      </w:r>
      <w:r w:rsidRPr="00955789">
        <w:rPr>
          <w:rFonts w:ascii="Times New Roman" w:hAnsi="Times New Roman" w:cs="Arial"/>
          <w:noProof/>
          <w:szCs w:val="24"/>
          <w:lang w:bidi="he-IL"/>
        </w:rPr>
        <w:t> </w:t>
      </w:r>
      <w:r w:rsidRPr="00955789">
        <w:rPr>
          <w:rFonts w:ascii="Times New Roman" w:hAnsi="Times New Roman"/>
        </w:rPr>
        <w:t xml:space="preserve">Ejection fraction decreased (11%), </w:t>
      </w:r>
      <w:r w:rsidRPr="00955789">
        <w:rPr>
          <w:rFonts w:ascii="Times New Roman" w:hAnsi="Times New Roman"/>
          <w:vertAlign w:val="superscript"/>
        </w:rPr>
        <w:t>$</w:t>
      </w:r>
      <w:r w:rsidRPr="00955789">
        <w:rPr>
          <w:rFonts w:ascii="Times New Roman" w:hAnsi="Times New Roman"/>
        </w:rPr>
        <w:t xml:space="preserve">cardiac flutter, </w:t>
      </w:r>
      <w:r w:rsidRPr="00955789">
        <w:rPr>
          <w:rFonts w:ascii="Times New Roman" w:hAnsi="Times New Roman"/>
          <w:vertAlign w:val="superscript"/>
        </w:rPr>
        <w:t>$</w:t>
      </w:r>
      <w:r w:rsidRPr="00955789">
        <w:rPr>
          <w:rFonts w:ascii="Times New Roman" w:hAnsi="Times New Roman"/>
        </w:rPr>
        <w:t>irregular heartbeat</w:t>
      </w:r>
    </w:p>
    <w:p w14:paraId="6D42993B" w14:textId="77777777" w:rsidR="00AF2C5E" w:rsidRPr="00955789" w:rsidRDefault="00AF2C5E">
      <w:pPr>
        <w:spacing w:before="60"/>
        <w:jc w:val="both"/>
        <w:rPr>
          <w:rFonts w:ascii="Times New Roman" w:hAnsi="Times New Roman"/>
        </w:rPr>
      </w:pPr>
      <w:r w:rsidRPr="00955789">
        <w:rPr>
          <w:rFonts w:ascii="Times New Roman" w:hAnsi="Times New Roman"/>
          <w:i/>
        </w:rPr>
        <w:t>Common:</w:t>
      </w:r>
      <w:r w:rsidRPr="00955789">
        <w:rPr>
          <w:rFonts w:ascii="Times New Roman" w:hAnsi="Times New Roman" w:cs="Arial"/>
          <w:szCs w:val="24"/>
          <w:lang w:bidi="he-IL"/>
        </w:rPr>
        <w:t> </w:t>
      </w:r>
      <w:r w:rsidRPr="00955789">
        <w:rPr>
          <w:rFonts w:ascii="Times New Roman" w:hAnsi="Times New Roman"/>
          <w:vertAlign w:val="superscript"/>
        </w:rPr>
        <w:t>$</w:t>
      </w:r>
      <w:r w:rsidRPr="00955789">
        <w:rPr>
          <w:rFonts w:ascii="Times New Roman" w:hAnsi="Times New Roman"/>
        </w:rPr>
        <w:t>Supraventricular tachyarrhythmia, cardiac failure (congestive), cardiomyopathy</w:t>
      </w:r>
      <w:r w:rsidRPr="00955789">
        <w:rPr>
          <w:rFonts w:ascii="Times New Roman" w:hAnsi="Times New Roman" w:cs="Arial"/>
          <w:szCs w:val="24"/>
          <w:lang w:bidi="he-IL"/>
        </w:rPr>
        <w:t xml:space="preserve">, </w:t>
      </w:r>
      <w:r w:rsidRPr="00955789">
        <w:rPr>
          <w:rFonts w:ascii="Times New Roman" w:hAnsi="Times New Roman" w:cs="Arial"/>
          <w:szCs w:val="24"/>
          <w:vertAlign w:val="superscript"/>
          <w:lang w:bidi="he-IL"/>
        </w:rPr>
        <w:t>$</w:t>
      </w:r>
      <w:r w:rsidRPr="00955789">
        <w:rPr>
          <w:rFonts w:ascii="Times New Roman" w:hAnsi="Times New Roman" w:cs="Arial"/>
          <w:szCs w:val="24"/>
          <w:lang w:bidi="he-IL"/>
        </w:rPr>
        <w:t>palpitations</w:t>
      </w:r>
    </w:p>
    <w:p w14:paraId="2EFD5A94" w14:textId="77777777" w:rsidR="00AF2C5E" w:rsidRPr="00955789" w:rsidRDefault="00AF2C5E">
      <w:pPr>
        <w:spacing w:before="60"/>
        <w:jc w:val="both"/>
        <w:rPr>
          <w:rFonts w:ascii="Times New Roman" w:hAnsi="Times New Roman"/>
        </w:rPr>
      </w:pPr>
      <w:r w:rsidRPr="00955789">
        <w:rPr>
          <w:rFonts w:ascii="Times New Roman" w:hAnsi="Times New Roman"/>
          <w:i/>
        </w:rPr>
        <w:t>Uncommon</w:t>
      </w:r>
      <w:r w:rsidRPr="00955789">
        <w:rPr>
          <w:rFonts w:ascii="Times New Roman" w:hAnsi="Times New Roman"/>
        </w:rPr>
        <w:t>:</w:t>
      </w:r>
      <w:r w:rsidRPr="00955789">
        <w:rPr>
          <w:rFonts w:ascii="Times New Roman" w:hAnsi="Times New Roman" w:cs="Arial"/>
          <w:noProof/>
          <w:szCs w:val="24"/>
          <w:lang w:bidi="he-IL"/>
        </w:rPr>
        <w:t> </w:t>
      </w:r>
      <w:r w:rsidRPr="00955789">
        <w:rPr>
          <w:rFonts w:ascii="Times New Roman" w:hAnsi="Times New Roman"/>
        </w:rPr>
        <w:t>Pericardial effusion</w:t>
      </w:r>
    </w:p>
    <w:p w14:paraId="4888BA34" w14:textId="77777777" w:rsidR="00AF2C5E" w:rsidRPr="00955789" w:rsidRDefault="00AF2C5E">
      <w:pPr>
        <w:spacing w:before="60"/>
        <w:jc w:val="both"/>
        <w:rPr>
          <w:rFonts w:ascii="Times New Roman" w:hAnsi="Times New Roman"/>
        </w:rPr>
      </w:pPr>
      <w:r w:rsidRPr="00955789">
        <w:rPr>
          <w:rFonts w:ascii="Times New Roman" w:hAnsi="Times New Roman"/>
          <w:i/>
        </w:rPr>
        <w:t>Frequency not known</w:t>
      </w:r>
      <w:r w:rsidRPr="00955789">
        <w:rPr>
          <w:rFonts w:ascii="Times New Roman" w:hAnsi="Times New Roman"/>
        </w:rPr>
        <w:t>: Cardiogenic shock, gallop rhythm, tachycardia.</w:t>
      </w:r>
    </w:p>
    <w:p w14:paraId="405C3FF2" w14:textId="77777777" w:rsidR="00AF2C5E" w:rsidRPr="00955789" w:rsidRDefault="00AF2C5E">
      <w:pPr>
        <w:keepNext/>
        <w:spacing w:before="240"/>
        <w:rPr>
          <w:rFonts w:ascii="Times New Roman" w:hAnsi="Times New Roman"/>
          <w:b/>
        </w:rPr>
      </w:pPr>
      <w:r w:rsidRPr="00955789">
        <w:rPr>
          <w:rFonts w:ascii="Times New Roman" w:hAnsi="Times New Roman"/>
          <w:b/>
        </w:rPr>
        <w:t>Vascular disorders</w:t>
      </w:r>
    </w:p>
    <w:p w14:paraId="2E0E05B3" w14:textId="77777777" w:rsidR="00AF2C5E" w:rsidRPr="00955789" w:rsidRDefault="00AF2C5E">
      <w:pPr>
        <w:spacing w:before="60"/>
        <w:jc w:val="both"/>
        <w:rPr>
          <w:rFonts w:ascii="Times New Roman" w:hAnsi="Times New Roman"/>
        </w:rPr>
      </w:pPr>
      <w:r w:rsidRPr="00955789">
        <w:rPr>
          <w:rFonts w:ascii="Times New Roman" w:hAnsi="Times New Roman"/>
          <w:i/>
        </w:rPr>
        <w:t>Very common</w:t>
      </w:r>
      <w:r w:rsidRPr="00955789">
        <w:rPr>
          <w:rFonts w:ascii="Times New Roman" w:hAnsi="Times New Roman"/>
        </w:rPr>
        <w:t>:</w:t>
      </w:r>
      <w:r w:rsidRPr="00955789">
        <w:rPr>
          <w:rFonts w:ascii="Times New Roman" w:hAnsi="Times New Roman" w:cs="Arial"/>
          <w:noProof/>
          <w:szCs w:val="24"/>
          <w:lang w:bidi="he-IL"/>
        </w:rPr>
        <w:t> </w:t>
      </w:r>
      <w:r w:rsidRPr="00955789">
        <w:rPr>
          <w:rFonts w:ascii="Times New Roman" w:hAnsi="Times New Roman"/>
        </w:rPr>
        <w:t>Hot flushes (17%), lymphoedema (11</w:t>
      </w:r>
      <w:r w:rsidRPr="00955789">
        <w:rPr>
          <w:rFonts w:ascii="Times New Roman" w:hAnsi="Times New Roman" w:cs="Arial"/>
          <w:noProof/>
          <w:szCs w:val="24"/>
          <w:lang w:bidi="he-IL"/>
        </w:rPr>
        <w:t>%)</w:t>
      </w:r>
    </w:p>
    <w:p w14:paraId="6AFD753F" w14:textId="77777777" w:rsidR="00AF2C5E" w:rsidRPr="00955789" w:rsidRDefault="00AF2C5E">
      <w:pPr>
        <w:spacing w:before="60"/>
        <w:jc w:val="both"/>
        <w:rPr>
          <w:rFonts w:ascii="Times New Roman" w:hAnsi="Times New Roman"/>
        </w:rPr>
      </w:pPr>
      <w:r w:rsidRPr="00955789">
        <w:rPr>
          <w:rFonts w:ascii="Times New Roman" w:hAnsi="Times New Roman"/>
          <w:i/>
        </w:rPr>
        <w:t>Common</w:t>
      </w:r>
      <w:r w:rsidRPr="00955789">
        <w:rPr>
          <w:rFonts w:ascii="Times New Roman" w:hAnsi="Times New Roman"/>
        </w:rPr>
        <w:t>:</w:t>
      </w:r>
      <w:r w:rsidRPr="00955789">
        <w:rPr>
          <w:rFonts w:ascii="Times New Roman" w:hAnsi="Times New Roman" w:cs="Arial"/>
          <w:noProof/>
          <w:szCs w:val="24"/>
          <w:lang w:bidi="he-IL"/>
        </w:rPr>
        <w:t> </w:t>
      </w:r>
      <w:r w:rsidRPr="00955789">
        <w:rPr>
          <w:rFonts w:ascii="Times New Roman" w:hAnsi="Times New Roman"/>
          <w:vertAlign w:val="superscript"/>
        </w:rPr>
        <w:t>$</w:t>
      </w:r>
      <w:r w:rsidRPr="00955789">
        <w:rPr>
          <w:rFonts w:ascii="Times New Roman" w:hAnsi="Times New Roman"/>
        </w:rPr>
        <w:t xml:space="preserve">Hypotension, </w:t>
      </w:r>
      <w:r w:rsidRPr="00955789">
        <w:rPr>
          <w:rFonts w:ascii="Times New Roman" w:hAnsi="Times New Roman"/>
          <w:vertAlign w:val="superscript"/>
        </w:rPr>
        <w:t>$</w:t>
      </w:r>
      <w:r w:rsidRPr="00955789">
        <w:rPr>
          <w:rFonts w:ascii="Times New Roman" w:hAnsi="Times New Roman"/>
        </w:rPr>
        <w:t>hypertension, vasodilatation.</w:t>
      </w:r>
    </w:p>
    <w:p w14:paraId="1887EE32" w14:textId="77777777" w:rsidR="00AF2C5E" w:rsidRPr="00955789" w:rsidRDefault="00AF2C5E">
      <w:pPr>
        <w:keepNext/>
        <w:spacing w:before="240"/>
        <w:rPr>
          <w:rFonts w:ascii="MS Mincho" w:hAnsi="Times New Roman"/>
          <w:b/>
        </w:rPr>
      </w:pPr>
      <w:r w:rsidRPr="00955789">
        <w:rPr>
          <w:rFonts w:ascii="Times New Roman" w:hAnsi="Times New Roman"/>
          <w:b/>
        </w:rPr>
        <w:t>Respiratory, thoracic and mediastinal disorders</w:t>
      </w:r>
    </w:p>
    <w:p w14:paraId="31C9B4D4" w14:textId="77777777" w:rsidR="00AF2C5E" w:rsidRPr="00955789" w:rsidRDefault="00AF2C5E">
      <w:pPr>
        <w:spacing w:before="60"/>
        <w:jc w:val="both"/>
        <w:rPr>
          <w:rFonts w:ascii="Times New Roman" w:hAnsi="Times New Roman"/>
        </w:rPr>
      </w:pPr>
      <w:r w:rsidRPr="00955789">
        <w:rPr>
          <w:rFonts w:ascii="Times New Roman" w:hAnsi="Times New Roman"/>
          <w:i/>
        </w:rPr>
        <w:t>Very common:</w:t>
      </w:r>
      <w:r w:rsidRPr="00955789">
        <w:rPr>
          <w:rFonts w:ascii="Times New Roman" w:hAnsi="Times New Roman"/>
        </w:rPr>
        <w:t xml:space="preserve"> Epistaxis (18%), rhinorrhoea (18%), cough (16%), oropharyngeal pain (15%), dyspnoea (14</w:t>
      </w:r>
      <w:r w:rsidRPr="00955789">
        <w:rPr>
          <w:rFonts w:ascii="Times New Roman" w:hAnsi="Times New Roman" w:cs="Arial"/>
          <w:szCs w:val="24"/>
          <w:lang w:bidi="he-IL"/>
        </w:rPr>
        <w:t>%)</w:t>
      </w:r>
    </w:p>
    <w:p w14:paraId="222AF97E" w14:textId="77777777" w:rsidR="00AF2C5E" w:rsidRPr="00955789" w:rsidRDefault="00AF2C5E">
      <w:pPr>
        <w:spacing w:before="60"/>
        <w:jc w:val="both"/>
        <w:rPr>
          <w:rFonts w:ascii="Times New Roman" w:hAnsi="Times New Roman"/>
        </w:rPr>
      </w:pPr>
      <w:r w:rsidRPr="00955789">
        <w:rPr>
          <w:rFonts w:ascii="Times New Roman" w:hAnsi="Times New Roman"/>
          <w:i/>
        </w:rPr>
        <w:t>Common</w:t>
      </w:r>
      <w:r w:rsidRPr="00955789">
        <w:rPr>
          <w:rFonts w:ascii="Times New Roman" w:hAnsi="Times New Roman"/>
        </w:rPr>
        <w:t>:</w:t>
      </w:r>
      <w:r w:rsidRPr="00955789">
        <w:rPr>
          <w:rFonts w:ascii="Times New Roman" w:hAnsi="Times New Roman" w:cs="Arial"/>
          <w:noProof/>
          <w:szCs w:val="24"/>
          <w:lang w:bidi="he-IL"/>
        </w:rPr>
        <w:t> </w:t>
      </w:r>
      <w:r w:rsidRPr="00955789">
        <w:rPr>
          <w:rFonts w:ascii="Times New Roman" w:hAnsi="Times New Roman"/>
        </w:rPr>
        <w:t>Asthma, lung disorder, pleural effusion, pneumonia</w:t>
      </w:r>
    </w:p>
    <w:p w14:paraId="65B20D65" w14:textId="77777777" w:rsidR="00AF2C5E" w:rsidRDefault="00AF2C5E">
      <w:pPr>
        <w:spacing w:before="60"/>
        <w:jc w:val="both"/>
        <w:rPr>
          <w:rFonts w:ascii="Times New Roman" w:hAnsi="Times New Roman"/>
        </w:rPr>
      </w:pPr>
      <w:r w:rsidRPr="00955789">
        <w:rPr>
          <w:rFonts w:ascii="Times New Roman" w:hAnsi="Times New Roman"/>
          <w:i/>
        </w:rPr>
        <w:t>Uncommon</w:t>
      </w:r>
      <w:r w:rsidRPr="00955789">
        <w:rPr>
          <w:rFonts w:ascii="Times New Roman" w:hAnsi="Times New Roman"/>
        </w:rPr>
        <w:t>: Pneumonitis</w:t>
      </w:r>
      <w:r w:rsidRPr="00955789">
        <w:rPr>
          <w:rFonts w:ascii="Times New Roman" w:hAnsi="Times New Roman" w:cs="Arial"/>
          <w:szCs w:val="24"/>
          <w:lang w:bidi="he-IL"/>
        </w:rPr>
        <w:t xml:space="preserve">, </w:t>
      </w:r>
      <w:r w:rsidRPr="00955789">
        <w:rPr>
          <w:rFonts w:ascii="Times New Roman" w:hAnsi="Times New Roman" w:cs="Arial"/>
          <w:szCs w:val="24"/>
          <w:vertAlign w:val="superscript"/>
          <w:lang w:bidi="he-IL"/>
        </w:rPr>
        <w:t>$</w:t>
      </w:r>
      <w:r w:rsidRPr="00955789">
        <w:rPr>
          <w:rFonts w:ascii="Times New Roman" w:hAnsi="Times New Roman" w:cs="Arial"/>
          <w:szCs w:val="24"/>
          <w:lang w:bidi="he-IL"/>
        </w:rPr>
        <w:t>wheezing</w:t>
      </w:r>
    </w:p>
    <w:p w14:paraId="7AB8C57D" w14:textId="77777777" w:rsidR="00AF2C5E" w:rsidRDefault="00AF2C5E">
      <w:pPr>
        <w:spacing w:before="60"/>
        <w:jc w:val="both"/>
        <w:rPr>
          <w:rFonts w:ascii="Times New Roman" w:hAnsi="Times New Roman"/>
        </w:rPr>
      </w:pPr>
      <w:r>
        <w:rPr>
          <w:rFonts w:ascii="Times New Roman" w:hAnsi="Times New Roman"/>
          <w:i/>
        </w:rPr>
        <w:t>Frequency not known</w:t>
      </w:r>
      <w:r>
        <w:rPr>
          <w:rFonts w:ascii="Times New Roman" w:hAnsi="Times New Roman"/>
        </w:rPr>
        <w:t>:</w:t>
      </w:r>
      <w:r>
        <w:rPr>
          <w:rFonts w:ascii="Times New Roman" w:hAnsi="Times New Roman" w:cs="Arial"/>
          <w:noProof/>
          <w:szCs w:val="24"/>
          <w:lang w:bidi="he-IL"/>
        </w:rPr>
        <w:t> </w:t>
      </w:r>
      <w:r>
        <w:rPr>
          <w:rFonts w:ascii="Times New Roman" w:hAnsi="Times New Roman"/>
        </w:rPr>
        <w:t>Interstitial lung disease including pulmonary infiltration, pulmonary fibrosis, respiratory failure, respiratory arrest, acute pulmonary oedema, acute respiratory distress, bronchospasm, laryngeal oedema, orthopnoea, exertional dyspnoea, hiccups, acute respiratory distress syndrome, respiratory distress syndrome, decreased oxygen saturation, hypoxia, Cheyne-Stokes respiration</w:t>
      </w:r>
    </w:p>
    <w:p w14:paraId="1D7D3889" w14:textId="77777777" w:rsidR="00AF2C5E" w:rsidRDefault="00AF2C5E">
      <w:pPr>
        <w:keepNext/>
        <w:spacing w:before="240"/>
        <w:rPr>
          <w:rFonts w:ascii="Times New Roman" w:hAnsi="Times New Roman"/>
          <w:b/>
        </w:rPr>
      </w:pPr>
      <w:r>
        <w:rPr>
          <w:rFonts w:ascii="Times New Roman" w:hAnsi="Times New Roman"/>
          <w:b/>
        </w:rPr>
        <w:t>Gastrointestinal disorders</w:t>
      </w:r>
    </w:p>
    <w:p w14:paraId="67EE9770" w14:textId="77777777" w:rsidR="00AF2C5E" w:rsidRDefault="00AF2C5E">
      <w:pPr>
        <w:spacing w:before="60"/>
        <w:jc w:val="both"/>
        <w:rPr>
          <w:rFonts w:ascii="Times New Roman" w:hAnsi="Times New Roman"/>
        </w:rPr>
      </w:pPr>
      <w:r>
        <w:rPr>
          <w:rFonts w:ascii="Times New Roman" w:hAnsi="Times New Roman"/>
          <w:i/>
        </w:rPr>
        <w:t>Very common</w:t>
      </w:r>
      <w:r>
        <w:rPr>
          <w:rFonts w:ascii="Times New Roman" w:hAnsi="Times New Roman"/>
        </w:rPr>
        <w:t>:</w:t>
      </w:r>
      <w:r>
        <w:rPr>
          <w:rFonts w:ascii="Times New Roman" w:hAnsi="Times New Roman" w:cs="Arial"/>
          <w:noProof/>
          <w:szCs w:val="24"/>
          <w:lang w:bidi="he-IL"/>
        </w:rPr>
        <w:t> </w:t>
      </w:r>
      <w:r>
        <w:rPr>
          <w:rFonts w:ascii="Times New Roman" w:hAnsi="Times New Roman"/>
        </w:rPr>
        <w:t xml:space="preserve">Nausea (78%), diarrhoea (50%), vomiting (50%), stomatitis (40%), constipation (27%), abdominal pain (20%), dyspepsia (14%), </w:t>
      </w:r>
      <w:r>
        <w:rPr>
          <w:rFonts w:ascii="Times New Roman" w:hAnsi="Times New Roman"/>
          <w:vertAlign w:val="superscript"/>
        </w:rPr>
        <w:t>$</w:t>
      </w:r>
      <w:r>
        <w:rPr>
          <w:rFonts w:ascii="Times New Roman" w:hAnsi="Times New Roman"/>
        </w:rPr>
        <w:t>lip swelling</w:t>
      </w:r>
    </w:p>
    <w:p w14:paraId="4734A251" w14:textId="77777777" w:rsidR="00AF2C5E" w:rsidRDefault="00AF2C5E">
      <w:pPr>
        <w:spacing w:before="60"/>
        <w:jc w:val="both"/>
        <w:rPr>
          <w:rFonts w:ascii="Times New Roman" w:hAnsi="Times New Roman"/>
        </w:rPr>
      </w:pPr>
      <w:r>
        <w:rPr>
          <w:rFonts w:ascii="Times New Roman" w:hAnsi="Times New Roman"/>
          <w:i/>
        </w:rPr>
        <w:t>Common</w:t>
      </w:r>
      <w:r>
        <w:rPr>
          <w:rFonts w:ascii="Times New Roman" w:hAnsi="Times New Roman"/>
        </w:rPr>
        <w:t>:</w:t>
      </w:r>
      <w:r>
        <w:rPr>
          <w:rFonts w:ascii="Times New Roman" w:hAnsi="Times New Roman" w:cs="Arial"/>
          <w:noProof/>
          <w:szCs w:val="24"/>
          <w:lang w:bidi="he-IL"/>
        </w:rPr>
        <w:t> </w:t>
      </w:r>
      <w:r>
        <w:rPr>
          <w:rFonts w:ascii="Times New Roman" w:hAnsi="Times New Roman"/>
        </w:rPr>
        <w:t>Dry mouth, haemorrhoids</w:t>
      </w:r>
    </w:p>
    <w:p w14:paraId="4943D637" w14:textId="77777777" w:rsidR="00AF2C5E" w:rsidRDefault="00AF2C5E">
      <w:pPr>
        <w:spacing w:before="60"/>
        <w:jc w:val="both"/>
        <w:rPr>
          <w:rFonts w:ascii="Times New Roman" w:hAnsi="Times New Roman"/>
        </w:rPr>
      </w:pPr>
      <w:r>
        <w:rPr>
          <w:rFonts w:ascii="Times New Roman" w:hAnsi="Times New Roman"/>
          <w:i/>
        </w:rPr>
        <w:t>Uncommon</w:t>
      </w:r>
      <w:r>
        <w:rPr>
          <w:rFonts w:ascii="Times New Roman" w:hAnsi="Times New Roman"/>
        </w:rPr>
        <w:t>:</w:t>
      </w:r>
      <w:r>
        <w:rPr>
          <w:rFonts w:ascii="Times New Roman" w:hAnsi="Times New Roman" w:cs="Arial"/>
          <w:noProof/>
          <w:szCs w:val="24"/>
          <w:lang w:bidi="he-IL"/>
        </w:rPr>
        <w:t> </w:t>
      </w:r>
      <w:r>
        <w:rPr>
          <w:rFonts w:ascii="Times New Roman" w:hAnsi="Times New Roman"/>
        </w:rPr>
        <w:t>Pancreatitis</w:t>
      </w:r>
    </w:p>
    <w:p w14:paraId="4A7DDF2F" w14:textId="77777777" w:rsidR="00AF2C5E" w:rsidRDefault="00AF2C5E">
      <w:pPr>
        <w:spacing w:before="60"/>
        <w:jc w:val="both"/>
        <w:rPr>
          <w:rFonts w:ascii="Times New Roman" w:hAnsi="Times New Roman"/>
        </w:rPr>
      </w:pPr>
      <w:r>
        <w:rPr>
          <w:rFonts w:ascii="Times New Roman" w:hAnsi="Times New Roman"/>
          <w:i/>
        </w:rPr>
        <w:t>Frequency not known</w:t>
      </w:r>
      <w:r>
        <w:rPr>
          <w:rFonts w:ascii="Times New Roman" w:hAnsi="Times New Roman"/>
        </w:rPr>
        <w:t>:</w:t>
      </w:r>
      <w:r>
        <w:rPr>
          <w:rFonts w:ascii="Times New Roman" w:hAnsi="Times New Roman" w:cs="Arial"/>
          <w:noProof/>
          <w:szCs w:val="24"/>
          <w:lang w:bidi="he-IL"/>
        </w:rPr>
        <w:t> </w:t>
      </w:r>
      <w:r>
        <w:rPr>
          <w:rFonts w:ascii="Times New Roman" w:hAnsi="Times New Roman"/>
        </w:rPr>
        <w:t>Gastritis</w:t>
      </w:r>
    </w:p>
    <w:p w14:paraId="59E7FACB" w14:textId="77777777" w:rsidR="00AF2C5E" w:rsidRDefault="00AF2C5E">
      <w:pPr>
        <w:keepNext/>
        <w:spacing w:before="240"/>
        <w:rPr>
          <w:rFonts w:ascii="Times New Roman" w:hAnsi="Times New Roman"/>
          <w:b/>
        </w:rPr>
      </w:pPr>
      <w:r>
        <w:rPr>
          <w:rFonts w:ascii="Times New Roman" w:hAnsi="Times New Roman"/>
          <w:b/>
        </w:rPr>
        <w:lastRenderedPageBreak/>
        <w:t>Hepatobiliary disorders</w:t>
      </w:r>
    </w:p>
    <w:p w14:paraId="338D2D17" w14:textId="77777777" w:rsidR="00AF2C5E" w:rsidRDefault="00AF2C5E">
      <w:pPr>
        <w:spacing w:before="60"/>
        <w:jc w:val="both"/>
        <w:rPr>
          <w:rFonts w:ascii="Times New Roman" w:hAnsi="Times New Roman"/>
        </w:rPr>
      </w:pPr>
      <w:r>
        <w:rPr>
          <w:rFonts w:ascii="Times New Roman" w:hAnsi="Times New Roman"/>
          <w:i/>
        </w:rPr>
        <w:t>Common</w:t>
      </w:r>
      <w:r>
        <w:rPr>
          <w:rFonts w:ascii="Times New Roman" w:hAnsi="Times New Roman"/>
        </w:rPr>
        <w:t>:</w:t>
      </w:r>
      <w:r>
        <w:rPr>
          <w:rFonts w:ascii="Times New Roman" w:hAnsi="Times New Roman" w:cs="Arial"/>
          <w:noProof/>
          <w:szCs w:val="24"/>
          <w:lang w:bidi="he-IL"/>
        </w:rPr>
        <w:t> </w:t>
      </w:r>
      <w:r>
        <w:rPr>
          <w:rFonts w:ascii="Times New Roman" w:hAnsi="Times New Roman"/>
        </w:rPr>
        <w:t>Hepatocellular injury, hepatitis, liver tenderness</w:t>
      </w:r>
    </w:p>
    <w:p w14:paraId="4A07A20C" w14:textId="77777777" w:rsidR="00AF2C5E" w:rsidRPr="00955789" w:rsidRDefault="00AF2C5E">
      <w:pPr>
        <w:spacing w:before="60"/>
        <w:jc w:val="both"/>
        <w:rPr>
          <w:rFonts w:ascii="Times New Roman" w:hAnsi="Times New Roman"/>
        </w:rPr>
      </w:pPr>
      <w:r w:rsidRPr="00955789">
        <w:rPr>
          <w:rFonts w:ascii="Times New Roman" w:hAnsi="Times New Roman"/>
          <w:i/>
        </w:rPr>
        <w:t>Rare</w:t>
      </w:r>
      <w:r w:rsidRPr="00955789">
        <w:rPr>
          <w:rFonts w:ascii="Times New Roman" w:hAnsi="Times New Roman"/>
        </w:rPr>
        <w:t>:</w:t>
      </w:r>
      <w:r w:rsidRPr="00955789">
        <w:rPr>
          <w:rFonts w:ascii="Times New Roman" w:hAnsi="Times New Roman" w:cs="Arial"/>
          <w:noProof/>
          <w:szCs w:val="24"/>
          <w:lang w:bidi="he-IL"/>
        </w:rPr>
        <w:t> </w:t>
      </w:r>
      <w:r w:rsidRPr="00955789">
        <w:rPr>
          <w:rFonts w:ascii="Times New Roman" w:hAnsi="Times New Roman"/>
        </w:rPr>
        <w:t>Jaundice</w:t>
      </w:r>
    </w:p>
    <w:p w14:paraId="21E08645" w14:textId="77777777" w:rsidR="00AF2C5E" w:rsidRDefault="00AF2C5E">
      <w:pPr>
        <w:keepNext/>
        <w:spacing w:before="240"/>
        <w:rPr>
          <w:rFonts w:ascii="Times New Roman" w:hAnsi="Times New Roman"/>
          <w:b/>
        </w:rPr>
      </w:pPr>
      <w:r w:rsidRPr="00955789">
        <w:rPr>
          <w:rFonts w:ascii="Times New Roman" w:hAnsi="Times New Roman"/>
          <w:b/>
        </w:rPr>
        <w:t>Skin and subcutaneous tissue disorders</w:t>
      </w:r>
    </w:p>
    <w:p w14:paraId="3D8BCBB9" w14:textId="77777777" w:rsidR="00AF2C5E" w:rsidRDefault="00AF2C5E">
      <w:pPr>
        <w:spacing w:before="60"/>
        <w:jc w:val="both"/>
        <w:rPr>
          <w:rFonts w:ascii="Times New Roman" w:hAnsi="Times New Roman"/>
        </w:rPr>
      </w:pPr>
      <w:r>
        <w:rPr>
          <w:rFonts w:ascii="Times New Roman" w:hAnsi="Times New Roman"/>
          <w:i/>
        </w:rPr>
        <w:t>Very common</w:t>
      </w:r>
      <w:r>
        <w:rPr>
          <w:rFonts w:ascii="Times New Roman" w:hAnsi="Times New Roman"/>
        </w:rPr>
        <w:t>:</w:t>
      </w:r>
      <w:r>
        <w:rPr>
          <w:rFonts w:ascii="Times New Roman" w:hAnsi="Times New Roman" w:cs="Arial"/>
          <w:noProof/>
          <w:szCs w:val="24"/>
          <w:lang w:bidi="he-IL"/>
        </w:rPr>
        <w:t> </w:t>
      </w:r>
      <w:r>
        <w:rPr>
          <w:rFonts w:ascii="Times New Roman" w:hAnsi="Times New Roman"/>
        </w:rPr>
        <w:t xml:space="preserve">Alopecia (94%), palmar-plantar erythrodysaesthesia syndrome (26%), rash (24%), erythema (23%), nail disorder (17%), nail toxicity (11%), </w:t>
      </w:r>
      <w:r>
        <w:rPr>
          <w:rFonts w:ascii="Times New Roman" w:hAnsi="Times New Roman"/>
          <w:vertAlign w:val="superscript"/>
        </w:rPr>
        <w:t>$</w:t>
      </w:r>
      <w:r>
        <w:rPr>
          <w:rFonts w:ascii="Times New Roman" w:hAnsi="Times New Roman"/>
        </w:rPr>
        <w:t>face oedema</w:t>
      </w:r>
    </w:p>
    <w:p w14:paraId="37135D10" w14:textId="77777777" w:rsidR="00AF2C5E" w:rsidRDefault="00AF2C5E">
      <w:pPr>
        <w:spacing w:before="60"/>
        <w:jc w:val="both"/>
        <w:rPr>
          <w:rFonts w:ascii="Times New Roman" w:hAnsi="Times New Roman"/>
        </w:rPr>
      </w:pPr>
      <w:r>
        <w:rPr>
          <w:rFonts w:ascii="Times New Roman" w:hAnsi="Times New Roman"/>
          <w:i/>
        </w:rPr>
        <w:t>Common</w:t>
      </w:r>
      <w:r>
        <w:rPr>
          <w:rFonts w:ascii="Times New Roman" w:hAnsi="Times New Roman"/>
        </w:rPr>
        <w:t>:</w:t>
      </w:r>
      <w:r>
        <w:rPr>
          <w:rFonts w:ascii="Times New Roman" w:hAnsi="Times New Roman" w:cs="Arial"/>
          <w:noProof/>
          <w:szCs w:val="24"/>
          <w:lang w:bidi="he-IL"/>
        </w:rPr>
        <w:t> </w:t>
      </w:r>
      <w:r>
        <w:rPr>
          <w:rFonts w:ascii="Times New Roman" w:hAnsi="Times New Roman"/>
        </w:rPr>
        <w:t>Acne, dermatitis, dry skin, subcutaneous bleeding, hyperhidrosis, maculopapular rash, pruritus, onychoclasis</w:t>
      </w:r>
    </w:p>
    <w:p w14:paraId="7CE5F504" w14:textId="77777777" w:rsidR="00AF2C5E" w:rsidRDefault="00AF2C5E">
      <w:pPr>
        <w:spacing w:before="60"/>
        <w:jc w:val="both"/>
        <w:rPr>
          <w:rFonts w:ascii="Times New Roman" w:hAnsi="Times New Roman"/>
        </w:rPr>
      </w:pPr>
      <w:r>
        <w:rPr>
          <w:rFonts w:ascii="Times New Roman" w:hAnsi="Times New Roman"/>
          <w:i/>
        </w:rPr>
        <w:t>Uncommon</w:t>
      </w:r>
      <w:r>
        <w:rPr>
          <w:rFonts w:ascii="Times New Roman" w:hAnsi="Times New Roman"/>
        </w:rPr>
        <w:t>:</w:t>
      </w:r>
      <w:r>
        <w:rPr>
          <w:rFonts w:ascii="Times New Roman" w:hAnsi="Times New Roman" w:cs="Arial"/>
          <w:noProof/>
          <w:szCs w:val="24"/>
          <w:lang w:bidi="he-IL"/>
        </w:rPr>
        <w:t> </w:t>
      </w:r>
      <w:r>
        <w:rPr>
          <w:rFonts w:ascii="Times New Roman" w:hAnsi="Times New Roman"/>
        </w:rPr>
        <w:t>Urticaria</w:t>
      </w:r>
    </w:p>
    <w:p w14:paraId="1CF5A23A" w14:textId="77777777" w:rsidR="00AF2C5E" w:rsidRDefault="00AF2C5E">
      <w:pPr>
        <w:spacing w:before="60"/>
        <w:jc w:val="both"/>
        <w:rPr>
          <w:rFonts w:ascii="Times New Roman" w:hAnsi="Times New Roman"/>
        </w:rPr>
      </w:pPr>
      <w:r>
        <w:rPr>
          <w:rFonts w:ascii="Times New Roman" w:hAnsi="Times New Roman"/>
          <w:i/>
        </w:rPr>
        <w:t>Frequency not known</w:t>
      </w:r>
      <w:r>
        <w:rPr>
          <w:rFonts w:ascii="Times New Roman" w:hAnsi="Times New Roman"/>
        </w:rPr>
        <w:t>:</w:t>
      </w:r>
      <w:r>
        <w:rPr>
          <w:rFonts w:ascii="Times New Roman" w:hAnsi="Times New Roman" w:cs="Arial"/>
          <w:noProof/>
          <w:szCs w:val="24"/>
          <w:lang w:bidi="he-IL"/>
        </w:rPr>
        <w:t> </w:t>
      </w:r>
      <w:r>
        <w:rPr>
          <w:rFonts w:ascii="Times New Roman" w:hAnsi="Times New Roman"/>
        </w:rPr>
        <w:t>Angioedema, onychorrhexis, Stevens-Johnson syndrome</w:t>
      </w:r>
    </w:p>
    <w:p w14:paraId="165D43A5" w14:textId="77777777" w:rsidR="00AF2C5E" w:rsidRDefault="00AF2C5E">
      <w:pPr>
        <w:keepNext/>
        <w:spacing w:before="120"/>
        <w:rPr>
          <w:rFonts w:ascii="Times New Roman" w:hAnsi="Times New Roman"/>
          <w:b/>
        </w:rPr>
      </w:pPr>
      <w:r>
        <w:rPr>
          <w:rFonts w:ascii="Times New Roman" w:hAnsi="Times New Roman"/>
          <w:b/>
        </w:rPr>
        <w:t>Musculoskeletal and connective tissue disorders</w:t>
      </w:r>
    </w:p>
    <w:p w14:paraId="12F8C9BD" w14:textId="77777777" w:rsidR="00AF2C5E" w:rsidRDefault="00AF2C5E">
      <w:pPr>
        <w:spacing w:before="60"/>
        <w:jc w:val="both"/>
        <w:rPr>
          <w:rFonts w:ascii="Times New Roman" w:hAnsi="Times New Roman"/>
        </w:rPr>
      </w:pPr>
      <w:r>
        <w:rPr>
          <w:rFonts w:ascii="Times New Roman" w:hAnsi="Times New Roman"/>
          <w:i/>
        </w:rPr>
        <w:t>Very common</w:t>
      </w:r>
      <w:r>
        <w:rPr>
          <w:rFonts w:ascii="Times New Roman" w:hAnsi="Times New Roman"/>
        </w:rPr>
        <w:t>:</w:t>
      </w:r>
      <w:r>
        <w:rPr>
          <w:rFonts w:ascii="Times New Roman" w:hAnsi="Times New Roman" w:cs="Arial"/>
          <w:noProof/>
          <w:szCs w:val="24"/>
          <w:lang w:bidi="he-IL"/>
        </w:rPr>
        <w:t> </w:t>
      </w:r>
      <w:r>
        <w:rPr>
          <w:rFonts w:ascii="Times New Roman" w:hAnsi="Times New Roman"/>
        </w:rPr>
        <w:t xml:space="preserve">Myalgia (35%), arthralgia (28%), </w:t>
      </w:r>
      <w:r>
        <w:rPr>
          <w:rFonts w:ascii="Times New Roman" w:hAnsi="Times New Roman"/>
          <w:vertAlign w:val="superscript"/>
        </w:rPr>
        <w:t>$</w:t>
      </w:r>
      <w:r>
        <w:rPr>
          <w:rFonts w:ascii="Times New Roman" w:hAnsi="Times New Roman"/>
        </w:rPr>
        <w:t>muscle tightness</w:t>
      </w:r>
    </w:p>
    <w:p w14:paraId="6D60255C" w14:textId="77777777" w:rsidR="00AF2C5E" w:rsidRDefault="00AF2C5E">
      <w:pPr>
        <w:spacing w:before="60"/>
        <w:jc w:val="both"/>
        <w:rPr>
          <w:rFonts w:ascii="Times New Roman" w:hAnsi="Times New Roman"/>
        </w:rPr>
      </w:pPr>
      <w:r>
        <w:rPr>
          <w:rFonts w:ascii="Times New Roman" w:hAnsi="Times New Roman"/>
          <w:i/>
        </w:rPr>
        <w:t>Common</w:t>
      </w:r>
      <w:r>
        <w:rPr>
          <w:rFonts w:ascii="Times New Roman" w:hAnsi="Times New Roman"/>
        </w:rPr>
        <w:t>:</w:t>
      </w:r>
      <w:r>
        <w:rPr>
          <w:rFonts w:ascii="Times New Roman" w:hAnsi="Times New Roman" w:cs="Arial"/>
          <w:noProof/>
          <w:szCs w:val="24"/>
          <w:lang w:bidi="he-IL"/>
        </w:rPr>
        <w:t> </w:t>
      </w:r>
      <w:r>
        <w:rPr>
          <w:rFonts w:ascii="Times New Roman" w:hAnsi="Times New Roman"/>
        </w:rPr>
        <w:t>Arthritis, back pain, bone pain, muscle spasms, neck pain, pain in the extremities, musculoskeletal pain</w:t>
      </w:r>
    </w:p>
    <w:p w14:paraId="1C862220" w14:textId="77777777" w:rsidR="00AF2C5E" w:rsidRDefault="00AF2C5E">
      <w:pPr>
        <w:keepNext/>
        <w:spacing w:before="240"/>
        <w:rPr>
          <w:rFonts w:ascii="Times New Roman" w:hAnsi="Times New Roman"/>
          <w:b/>
        </w:rPr>
      </w:pPr>
      <w:r>
        <w:rPr>
          <w:rFonts w:ascii="Times New Roman" w:hAnsi="Times New Roman"/>
          <w:b/>
        </w:rPr>
        <w:t>Renal and urinary disorders</w:t>
      </w:r>
    </w:p>
    <w:p w14:paraId="60D7E816" w14:textId="77777777" w:rsidR="00AF2C5E" w:rsidRDefault="00AF2C5E">
      <w:pPr>
        <w:spacing w:before="60"/>
        <w:jc w:val="both"/>
        <w:rPr>
          <w:rFonts w:ascii="Times New Roman" w:hAnsi="Times New Roman"/>
        </w:rPr>
      </w:pPr>
      <w:r>
        <w:rPr>
          <w:rFonts w:ascii="Times New Roman" w:hAnsi="Times New Roman"/>
          <w:i/>
        </w:rPr>
        <w:t>Common</w:t>
      </w:r>
      <w:r>
        <w:rPr>
          <w:rFonts w:ascii="Times New Roman" w:hAnsi="Times New Roman"/>
        </w:rPr>
        <w:t>:</w:t>
      </w:r>
      <w:r>
        <w:rPr>
          <w:rFonts w:ascii="Times New Roman" w:hAnsi="Times New Roman" w:cs="Arial"/>
          <w:noProof/>
          <w:szCs w:val="24"/>
          <w:lang w:bidi="he-IL"/>
        </w:rPr>
        <w:t> </w:t>
      </w:r>
      <w:r>
        <w:rPr>
          <w:rFonts w:ascii="Times New Roman" w:hAnsi="Times New Roman"/>
        </w:rPr>
        <w:t>Renal disorder</w:t>
      </w:r>
    </w:p>
    <w:p w14:paraId="55EF7240" w14:textId="77777777" w:rsidR="00AF2C5E" w:rsidRDefault="00AF2C5E">
      <w:pPr>
        <w:spacing w:before="60"/>
        <w:jc w:val="both"/>
        <w:rPr>
          <w:rFonts w:ascii="Times New Roman" w:hAnsi="Times New Roman"/>
        </w:rPr>
      </w:pPr>
      <w:r>
        <w:rPr>
          <w:rFonts w:ascii="Times New Roman" w:hAnsi="Times New Roman"/>
          <w:i/>
        </w:rPr>
        <w:t>Frequency not known</w:t>
      </w:r>
      <w:r>
        <w:rPr>
          <w:rFonts w:ascii="Times New Roman" w:hAnsi="Times New Roman"/>
        </w:rPr>
        <w:t>:</w:t>
      </w:r>
      <w:r>
        <w:rPr>
          <w:rFonts w:ascii="Times New Roman" w:hAnsi="Times New Roman" w:cs="Arial"/>
          <w:noProof/>
          <w:szCs w:val="24"/>
          <w:lang w:bidi="he-IL"/>
        </w:rPr>
        <w:t> </w:t>
      </w:r>
      <w:r>
        <w:rPr>
          <w:rFonts w:ascii="Times New Roman" w:hAnsi="Times New Roman"/>
        </w:rPr>
        <w:t>Membranous glomerulonephritis, glomerulonephropathy, renal failure, dysuria</w:t>
      </w:r>
    </w:p>
    <w:p w14:paraId="5DFEEE6B" w14:textId="77777777" w:rsidR="00AF2C5E" w:rsidRDefault="00AF2C5E">
      <w:pPr>
        <w:keepNext/>
        <w:spacing w:before="240"/>
        <w:rPr>
          <w:rFonts w:ascii="Times New Roman" w:hAnsi="Times New Roman"/>
          <w:b/>
        </w:rPr>
      </w:pPr>
      <w:r>
        <w:rPr>
          <w:rFonts w:ascii="Times New Roman" w:hAnsi="Times New Roman"/>
          <w:b/>
        </w:rPr>
        <w:t>Reproductive system and breast disorders</w:t>
      </w:r>
    </w:p>
    <w:p w14:paraId="180D71AA" w14:textId="77777777" w:rsidR="00AF2C5E" w:rsidRDefault="00AF2C5E">
      <w:pPr>
        <w:spacing w:before="60"/>
        <w:jc w:val="both"/>
        <w:rPr>
          <w:rFonts w:ascii="Times New Roman" w:hAnsi="Times New Roman"/>
        </w:rPr>
      </w:pPr>
      <w:r>
        <w:rPr>
          <w:rFonts w:ascii="Times New Roman" w:hAnsi="Times New Roman"/>
          <w:i/>
        </w:rPr>
        <w:t>Common</w:t>
      </w:r>
      <w:r>
        <w:rPr>
          <w:rFonts w:ascii="Times New Roman" w:hAnsi="Times New Roman"/>
        </w:rPr>
        <w:t>:</w:t>
      </w:r>
      <w:r>
        <w:rPr>
          <w:rFonts w:ascii="Times New Roman" w:hAnsi="Times New Roman" w:cs="Arial"/>
          <w:noProof/>
          <w:szCs w:val="24"/>
          <w:lang w:bidi="he-IL"/>
        </w:rPr>
        <w:t> </w:t>
      </w:r>
      <w:r>
        <w:rPr>
          <w:rFonts w:ascii="Times New Roman" w:hAnsi="Times New Roman"/>
        </w:rPr>
        <w:t>Mastitis, mastodynia</w:t>
      </w:r>
    </w:p>
    <w:p w14:paraId="56CE44B9" w14:textId="77777777" w:rsidR="00AF2C5E" w:rsidRDefault="00AF2C5E">
      <w:pPr>
        <w:keepNext/>
        <w:spacing w:before="240"/>
        <w:rPr>
          <w:rFonts w:ascii="Times New Roman" w:hAnsi="Times New Roman"/>
          <w:b/>
        </w:rPr>
      </w:pPr>
      <w:r>
        <w:rPr>
          <w:rFonts w:ascii="Times New Roman" w:hAnsi="Times New Roman"/>
          <w:b/>
        </w:rPr>
        <w:t>General disorders and administration site reactions</w:t>
      </w:r>
    </w:p>
    <w:p w14:paraId="422F4F5D" w14:textId="77777777" w:rsidR="00AF2C5E" w:rsidRDefault="00AF2C5E">
      <w:pPr>
        <w:spacing w:before="60"/>
        <w:jc w:val="both"/>
        <w:rPr>
          <w:rFonts w:ascii="Times New Roman" w:hAnsi="Times New Roman"/>
        </w:rPr>
      </w:pPr>
      <w:r>
        <w:rPr>
          <w:rFonts w:ascii="Times New Roman" w:hAnsi="Times New Roman"/>
          <w:i/>
        </w:rPr>
        <w:t>Very common</w:t>
      </w:r>
      <w:r>
        <w:rPr>
          <w:rFonts w:ascii="Times New Roman" w:hAnsi="Times New Roman"/>
        </w:rPr>
        <w:t>:</w:t>
      </w:r>
      <w:r>
        <w:rPr>
          <w:rFonts w:ascii="Times New Roman" w:hAnsi="Times New Roman" w:cs="Arial"/>
          <w:noProof/>
          <w:szCs w:val="24"/>
          <w:lang w:bidi="he-IL"/>
        </w:rPr>
        <w:t> </w:t>
      </w:r>
      <w:r>
        <w:rPr>
          <w:rFonts w:ascii="Times New Roman" w:hAnsi="Times New Roman"/>
        </w:rPr>
        <w:t>Infusion-related reactions (74%), fatigue (53%), asthenia (51%), influenza-like illness (23%), mucosal inflammation (23%), peripheral oedema (17%), chills (15%), pain (12%), fever (12%), chest pain (11%)</w:t>
      </w:r>
    </w:p>
    <w:p w14:paraId="2C047AAD" w14:textId="77777777" w:rsidR="00AF2C5E" w:rsidRDefault="00AF2C5E">
      <w:pPr>
        <w:spacing w:before="60"/>
        <w:jc w:val="both"/>
        <w:rPr>
          <w:rFonts w:ascii="Times New Roman" w:hAnsi="Times New Roman"/>
        </w:rPr>
      </w:pPr>
      <w:r>
        <w:rPr>
          <w:rFonts w:ascii="Times New Roman" w:hAnsi="Times New Roman"/>
          <w:i/>
        </w:rPr>
        <w:t>Common</w:t>
      </w:r>
      <w:r>
        <w:rPr>
          <w:rFonts w:ascii="Times New Roman" w:hAnsi="Times New Roman"/>
        </w:rPr>
        <w:t>:</w:t>
      </w:r>
      <w:r>
        <w:rPr>
          <w:rFonts w:ascii="Times New Roman" w:hAnsi="Times New Roman" w:cs="Arial"/>
          <w:noProof/>
          <w:szCs w:val="24"/>
          <w:lang w:bidi="he-IL"/>
        </w:rPr>
        <w:t> </w:t>
      </w:r>
      <w:r>
        <w:rPr>
          <w:rFonts w:ascii="Times New Roman" w:hAnsi="Times New Roman"/>
        </w:rPr>
        <w:t>Oedema, malaise</w:t>
      </w:r>
    </w:p>
    <w:p w14:paraId="42E31B29" w14:textId="77777777" w:rsidR="00AF2C5E" w:rsidRDefault="00AF2C5E">
      <w:pPr>
        <w:spacing w:before="60"/>
        <w:jc w:val="both"/>
        <w:rPr>
          <w:rFonts w:ascii="Times New Roman" w:hAnsi="Times New Roman"/>
        </w:rPr>
      </w:pPr>
      <w:r>
        <w:rPr>
          <w:rFonts w:ascii="Times New Roman" w:hAnsi="Times New Roman"/>
          <w:vertAlign w:val="superscript"/>
        </w:rPr>
        <w:t>$</w:t>
      </w:r>
      <w:r>
        <w:rPr>
          <w:rFonts w:ascii="Times New Roman" w:hAnsi="Times New Roman"/>
        </w:rPr>
        <w:t xml:space="preserve"> Denotes that the incidence shown is a sum of the incidences of multiple terms. Percentages for individual adverse reactions are not available.</w:t>
      </w:r>
    </w:p>
    <w:p w14:paraId="1D95C558" w14:textId="77777777" w:rsidR="00AF2C5E" w:rsidRDefault="00AF2C5E">
      <w:pPr>
        <w:pStyle w:val="Heading3"/>
        <w:rPr>
          <w:iCs/>
        </w:rPr>
      </w:pPr>
      <w:r>
        <w:rPr>
          <w:iCs/>
        </w:rPr>
        <w:t>Post-marketing undesirable effects</w:t>
      </w:r>
    </w:p>
    <w:p w14:paraId="15C08575" w14:textId="77777777" w:rsidR="00AF2C5E" w:rsidRDefault="00AF2C5E">
      <w:pPr>
        <w:pStyle w:val="J1"/>
      </w:pPr>
      <w:r>
        <w:t>Rare cases of severe immune thrombocytopenia with haemorrhage, which may occur within a few hours of infusion, have been observed in the post-marketing setting.</w:t>
      </w:r>
    </w:p>
    <w:p w14:paraId="15CC8DBB" w14:textId="77777777" w:rsidR="00AF2C5E" w:rsidRDefault="00AF2C5E">
      <w:pPr>
        <w:pStyle w:val="Heading3"/>
        <w:rPr>
          <w:iCs/>
        </w:rPr>
      </w:pPr>
      <w:r>
        <w:rPr>
          <w:iCs/>
        </w:rPr>
        <w:t>Description of selected undesirable effects</w:t>
      </w:r>
    </w:p>
    <w:p w14:paraId="6366098F" w14:textId="77777777" w:rsidR="00AF2C5E" w:rsidRDefault="00AF2C5E">
      <w:pPr>
        <w:pStyle w:val="Heading3a"/>
        <w:rPr>
          <w:iCs w:val="0"/>
        </w:rPr>
      </w:pPr>
      <w:r>
        <w:rPr>
          <w:iCs w:val="0"/>
        </w:rPr>
        <w:t>Immunogenicity</w:t>
      </w:r>
    </w:p>
    <w:p w14:paraId="5C89AFDA" w14:textId="77777777" w:rsidR="00AF2C5E" w:rsidRDefault="00AF2C5E">
      <w:pPr>
        <w:pStyle w:val="TextTi12"/>
        <w:spacing w:before="60" w:line="240" w:lineRule="auto"/>
        <w:rPr>
          <w:rFonts w:ascii="Times New Roman" w:hAnsi="Times New Roman"/>
          <w:sz w:val="22"/>
        </w:rPr>
      </w:pPr>
      <w:r>
        <w:rPr>
          <w:rFonts w:ascii="Times New Roman" w:hAnsi="Times New Roman"/>
          <w:sz w:val="22"/>
        </w:rPr>
        <w:t>In a neoadjuvant-adjuvant study (BO22227), anti-trastuzumab antibodies (both treatment-induced and treatment-enhanced) were detected in 10.1% (30/296) of patients during a median follow-up exceeding 70 months. Neutralizing antibodies were found in post-baseline samples in 2 of 30 Herceptin patients. The clinical relevance of these antibodies is not known. Nevertheless, the pharmacokinetics, efficacy (determined by pathological complete response [pCR]) and safety (determined by frequency of infusion-related reactions) of trastuzumab did not appear to be adversely affected by these anti-trastuzumab antibodies.</w:t>
      </w:r>
    </w:p>
    <w:p w14:paraId="292C3688" w14:textId="77777777" w:rsidR="00AF2C5E" w:rsidRDefault="00AF2C5E">
      <w:pPr>
        <w:pStyle w:val="Heading3"/>
        <w:rPr>
          <w:iCs/>
          <w:sz w:val="21"/>
        </w:rPr>
      </w:pPr>
      <w:r>
        <w:rPr>
          <w:iCs/>
          <w:sz w:val="21"/>
        </w:rPr>
        <w:t>* Long-term cardiological follow-up in early breast cancer</w:t>
      </w:r>
    </w:p>
    <w:p w14:paraId="2034CE4F" w14:textId="77777777" w:rsidR="00AF2C5E" w:rsidRDefault="00AF2C5E">
      <w:pPr>
        <w:pStyle w:val="J1"/>
      </w:pPr>
      <w:r>
        <w:t>After a median follow-up of 8 years, the incidence of severe chronic heart failure (NYHA class III &amp; IV) following 1 year of Herceptin therapy in study BO16348 was 0.8%, and the rate of mild symptomatic and asymptomatic left ventricular dysfunction was 4.6%.</w:t>
      </w:r>
    </w:p>
    <w:p w14:paraId="24DB6A71" w14:textId="77777777" w:rsidR="00AF2C5E" w:rsidRDefault="00AF2C5E">
      <w:pPr>
        <w:pStyle w:val="J1"/>
      </w:pPr>
      <w:r>
        <w:lastRenderedPageBreak/>
        <w:t>Reversibility of severe chronic heart failure (defined as a sequence of at least two consecutive LVEF values ≥50% after the event) was evident for 71.4% of affected patients. Reversibility of mild symptomatic and asymptomatic left ventricular dysfunction was demonstrated for 79.5% of affected patients. Approximately 17% of cardiac dysfunction-related events occurred after completion of Herceptin.</w:t>
      </w:r>
    </w:p>
    <w:p w14:paraId="108F3E4E" w14:textId="77777777" w:rsidR="00AF2C5E" w:rsidRDefault="00AF2C5E">
      <w:pPr>
        <w:pStyle w:val="J1"/>
      </w:pPr>
      <w:r>
        <w:t>In the joint analysis of studies NSABP B-31 and NCCTG N9831 with a median follow-up of 8.1 years, the per patient incidence of new-onset cardiac dysfunction, as determined by LVEF, in the AC→PH group (doxorubicin plus cyclophosphamide, followed by paclitaxel plus trastuzumab) remained unchanged compared to the analysis performed at a median follow-up of 2.0 years in the AC→PH group: with an LVEF decrease of ≥10% to below 50% observed in 18.5% of AC→PH patients. Reversibility of left ventricular dysfunction was reported in 64.5% of patients in the AC→PH group who had experienced symptomatic CHF and were asymptomatic at latest follow-up, and in 90.3% of patients who showed full or partial LVEF recovery.</w:t>
      </w:r>
    </w:p>
    <w:p w14:paraId="6255F43A" w14:textId="77777777" w:rsidR="00AF2C5E" w:rsidRDefault="00AF2C5E">
      <w:pPr>
        <w:pStyle w:val="HdCentNoNum"/>
        <w:jc w:val="left"/>
        <w:rPr>
          <w:rFonts w:ascii="Times New Roman" w:hAnsi="Times New Roman"/>
          <w:caps w:val="0"/>
          <w:sz w:val="22"/>
        </w:rPr>
      </w:pPr>
      <w:r>
        <w:rPr>
          <w:rFonts w:ascii="Times New Roman" w:hAnsi="Times New Roman"/>
          <w:caps w:val="0"/>
          <w:sz w:val="22"/>
        </w:rPr>
        <w:t>Overdose</w:t>
      </w:r>
    </w:p>
    <w:p w14:paraId="16873043" w14:textId="77777777" w:rsidR="00AF2C5E" w:rsidRDefault="00AF2C5E">
      <w:pPr>
        <w:pStyle w:val="J1"/>
      </w:pPr>
      <w:r>
        <w:t>There is no experience with overdosage in human clinical trials. Single doses higher than 10 mg/kg body weight have not been tested.</w:t>
      </w:r>
    </w:p>
    <w:p w14:paraId="5B532FFD" w14:textId="77777777" w:rsidR="00AF2C5E" w:rsidRDefault="00AF2C5E">
      <w:pPr>
        <w:pStyle w:val="HdCentNoNum"/>
        <w:jc w:val="left"/>
        <w:rPr>
          <w:rFonts w:ascii="Times New Roman" w:hAnsi="Times New Roman"/>
          <w:caps w:val="0"/>
          <w:sz w:val="22"/>
        </w:rPr>
      </w:pPr>
      <w:r>
        <w:rPr>
          <w:rFonts w:ascii="Times New Roman" w:hAnsi="Times New Roman"/>
          <w:caps w:val="0"/>
          <w:sz w:val="22"/>
        </w:rPr>
        <w:t>Properties/Effects</w:t>
      </w:r>
    </w:p>
    <w:p w14:paraId="2164D8D9" w14:textId="77777777" w:rsidR="00AF2C5E" w:rsidRDefault="00AF2C5E">
      <w:pPr>
        <w:pStyle w:val="Heading3a"/>
        <w:rPr>
          <w:iCs w:val="0"/>
        </w:rPr>
      </w:pPr>
      <w:r>
        <w:rPr>
          <w:iCs w:val="0"/>
        </w:rPr>
        <w:t>ATC code</w:t>
      </w:r>
    </w:p>
    <w:p w14:paraId="34DFD1CD" w14:textId="77777777" w:rsidR="00AF2C5E" w:rsidRDefault="00AF2C5E">
      <w:pPr>
        <w:pStyle w:val="J1"/>
      </w:pPr>
      <w:r>
        <w:t>L01XC03</w:t>
      </w:r>
    </w:p>
    <w:p w14:paraId="09807E91" w14:textId="77777777" w:rsidR="00AF2C5E" w:rsidRDefault="00AF2C5E">
      <w:pPr>
        <w:pStyle w:val="Heading3a"/>
        <w:rPr>
          <w:iCs w:val="0"/>
        </w:rPr>
      </w:pPr>
      <w:r>
        <w:rPr>
          <w:iCs w:val="0"/>
        </w:rPr>
        <w:t>Mechanism of action</w:t>
      </w:r>
    </w:p>
    <w:p w14:paraId="21843308" w14:textId="77777777" w:rsidR="00AF2C5E" w:rsidRDefault="00AF2C5E">
      <w:pPr>
        <w:pStyle w:val="J1"/>
      </w:pPr>
      <w:r>
        <w:t>Trastuzumab is a recombinant humanised monoclonal IgG</w:t>
      </w:r>
      <w:r>
        <w:rPr>
          <w:vertAlign w:val="subscript"/>
        </w:rPr>
        <w:t>1</w:t>
      </w:r>
      <w:r>
        <w:t xml:space="preserve"> kappa antibody produced in CHO (Chinese hamster ovary) cells that has murine hypervariable regions of the variable region. The antibody binds specifically to the extracellular domain of human epidermal growth factor receptor 2 (HER2).</w:t>
      </w:r>
    </w:p>
    <w:p w14:paraId="67A66FC7" w14:textId="77777777" w:rsidR="00AF2C5E" w:rsidRDefault="00AF2C5E">
      <w:pPr>
        <w:pStyle w:val="J1"/>
      </w:pPr>
      <w:r>
        <w:t>The HER2 proto-oncogene (or c-erbB2) codes for a transmembrane, receptor-like, single-stranded protein of 185 kDa that is structurally related to the epidermal growth factor receptor. HER2 overexpression is observed in 15</w:t>
      </w:r>
      <w:r>
        <w:noBreakHyphen/>
        <w:t>20% of primary breast cancers. The overall rate of HER2 positivity in advanced gastric cancer observed during screening for study BO18255 is 15% based on IHC3+ or IHC2+/FISH+, or 22.1% when applying the broader definition of IHC3+ or FISH+ for HER2 positivity. HER2 gene amplification results in an increase in HER2 protein expression on the surface of these tumour cells and consequently in potent HER2 activation.</w:t>
      </w:r>
    </w:p>
    <w:p w14:paraId="771B1622" w14:textId="77777777" w:rsidR="00AF2C5E" w:rsidRDefault="00AF2C5E">
      <w:pPr>
        <w:pStyle w:val="Heading3"/>
        <w:rPr>
          <w:iCs/>
        </w:rPr>
      </w:pPr>
      <w:r>
        <w:rPr>
          <w:iCs/>
        </w:rPr>
        <w:t>Pharmacodynamics</w:t>
      </w:r>
    </w:p>
    <w:p w14:paraId="652D0552" w14:textId="77777777" w:rsidR="00AF2C5E" w:rsidRDefault="00AF2C5E">
      <w:pPr>
        <w:pStyle w:val="J1"/>
      </w:pPr>
      <w:r>
        <w:t>Studies have shown that breast cancer patients with tumours that overexpress HER2 have shorter disease-free survival than patients with tumours that do not overexpress HER2.</w:t>
      </w:r>
    </w:p>
    <w:p w14:paraId="0B31F515" w14:textId="77777777" w:rsidR="00AF2C5E" w:rsidRDefault="00AF2C5E">
      <w:pPr>
        <w:pStyle w:val="J1"/>
      </w:pPr>
      <w:r>
        <w:t xml:space="preserve">Trastuzumab has been shown, both </w:t>
      </w:r>
      <w:r>
        <w:rPr>
          <w:i/>
        </w:rPr>
        <w:t>in vitro</w:t>
      </w:r>
      <w:r>
        <w:t xml:space="preserve"> and in animals, to inhibit the proliferation of human tumour cells that overexpress HER2. Trastuzumab is a mediator of antibody-dependent cellular cytotoxicity (ADCC). </w:t>
      </w:r>
      <w:r>
        <w:rPr>
          <w:i/>
        </w:rPr>
        <w:t>In vitro</w:t>
      </w:r>
      <w:r>
        <w:t>, trastuzumab-mediated ADCC has been shown to be preferentially exerted on HER2-overexpressing cancer cells.</w:t>
      </w:r>
    </w:p>
    <w:p w14:paraId="1693D563" w14:textId="77777777" w:rsidR="00AF2C5E" w:rsidRDefault="00AF2C5E">
      <w:pPr>
        <w:pStyle w:val="Heading3"/>
        <w:rPr>
          <w:iCs/>
        </w:rPr>
      </w:pPr>
      <w:r>
        <w:rPr>
          <w:iCs/>
        </w:rPr>
        <w:t>Detection of HER2 overexpression or HER2 gene amplification in breast cancer</w:t>
      </w:r>
    </w:p>
    <w:p w14:paraId="406DF7A1" w14:textId="77777777" w:rsidR="00AF2C5E" w:rsidRDefault="00AF2C5E">
      <w:pPr>
        <w:rPr>
          <w:rFonts w:ascii="Times New Roman" w:hAnsi="Times New Roman"/>
        </w:rPr>
      </w:pPr>
      <w:r>
        <w:rPr>
          <w:rFonts w:ascii="Times New Roman" w:hAnsi="Times New Roman" w:cs="Arial"/>
          <w:noProof/>
          <w:szCs w:val="24"/>
          <w:lang w:bidi="he-IL"/>
        </w:rPr>
        <w:t>Herceptin should only be used to treat patients whose tumours exhibit HER2 overexpression or HER2 gene amplification.</w:t>
      </w:r>
      <w:r>
        <w:rPr>
          <w:rFonts w:ascii="Times New Roman" w:hAnsi="Times New Roman" w:cs="Arial"/>
          <w:szCs w:val="24"/>
          <w:lang w:bidi="he-IL"/>
        </w:rPr>
        <w:t xml:space="preserve"> </w:t>
      </w:r>
      <w:r>
        <w:rPr>
          <w:rFonts w:ascii="Times New Roman" w:hAnsi="Times New Roman" w:cs="Arial"/>
          <w:noProof/>
          <w:szCs w:val="24"/>
          <w:lang w:bidi="he-IL"/>
        </w:rPr>
        <w:t>HER2 overexpression should be diagnosed using an immunohistochemistry (IHC)-based assessment of fixed tumour blocks (see Dosage/Administration).</w:t>
      </w:r>
      <w:r>
        <w:rPr>
          <w:rFonts w:ascii="Times New Roman" w:hAnsi="Times New Roman" w:cs="Arial"/>
          <w:szCs w:val="24"/>
          <w:lang w:bidi="he-IL"/>
        </w:rPr>
        <w:t xml:space="preserve"> </w:t>
      </w:r>
      <w:r>
        <w:rPr>
          <w:rFonts w:ascii="Times New Roman" w:hAnsi="Times New Roman" w:cs="Arial"/>
          <w:noProof/>
          <w:szCs w:val="24"/>
          <w:lang w:bidi="he-IL"/>
        </w:rPr>
        <w:t xml:space="preserve">HER2 gene amplification should be detected using fluorescence </w:t>
      </w:r>
      <w:r>
        <w:rPr>
          <w:rFonts w:ascii="Times New Roman" w:hAnsi="Times New Roman" w:cs="Arial"/>
          <w:i/>
          <w:noProof/>
          <w:szCs w:val="24"/>
          <w:lang w:bidi="he-IL"/>
        </w:rPr>
        <w:t>in situ</w:t>
      </w:r>
      <w:r>
        <w:rPr>
          <w:rFonts w:ascii="Times New Roman" w:hAnsi="Times New Roman" w:cs="Arial"/>
          <w:noProof/>
          <w:szCs w:val="24"/>
          <w:lang w:bidi="he-IL"/>
        </w:rPr>
        <w:t xml:space="preserve"> hybridisation (FISH) or chromogenic </w:t>
      </w:r>
      <w:r>
        <w:rPr>
          <w:rFonts w:ascii="Times New Roman" w:hAnsi="Times New Roman" w:cs="Arial"/>
          <w:i/>
          <w:noProof/>
          <w:szCs w:val="24"/>
          <w:lang w:bidi="he-IL"/>
        </w:rPr>
        <w:t>in situ</w:t>
      </w:r>
      <w:r>
        <w:rPr>
          <w:rFonts w:ascii="Times New Roman" w:hAnsi="Times New Roman" w:cs="Arial"/>
          <w:noProof/>
          <w:szCs w:val="24"/>
          <w:lang w:bidi="he-IL"/>
        </w:rPr>
        <w:t xml:space="preserve"> hybridisation (CISH) of fixed tumour blocks.</w:t>
      </w:r>
      <w:r>
        <w:rPr>
          <w:rFonts w:ascii="Times New Roman" w:hAnsi="Times New Roman" w:cs="Arial"/>
          <w:szCs w:val="24"/>
          <w:lang w:bidi="he-IL"/>
        </w:rPr>
        <w:t xml:space="preserve"> </w:t>
      </w:r>
      <w:r>
        <w:rPr>
          <w:rFonts w:ascii="Times New Roman" w:hAnsi="Times New Roman" w:cs="Arial"/>
          <w:noProof/>
          <w:szCs w:val="24"/>
          <w:lang w:bidi="he-IL"/>
        </w:rPr>
        <w:t>Patients are eligible for Herceptin treatment if they show strong HER2 overexpression as described by a 3+ score by IHC or a positive FISH or CISH result.</w:t>
      </w:r>
    </w:p>
    <w:p w14:paraId="55C1ABF6" w14:textId="77777777" w:rsidR="00AF2C5E" w:rsidRDefault="00AF2C5E">
      <w:pPr>
        <w:pStyle w:val="J1"/>
      </w:pPr>
      <w:r>
        <w:t>To obtain accurate and reproducible results, testing must be performed in specialised laboratories that can ensure validation of the testing procedures.</w:t>
      </w:r>
    </w:p>
    <w:p w14:paraId="01EED95B" w14:textId="77777777" w:rsidR="00AF2C5E" w:rsidRDefault="00AF2C5E">
      <w:pPr>
        <w:pStyle w:val="J1"/>
        <w:spacing w:after="240"/>
      </w:pPr>
      <w:r>
        <w:t>The recommended scoring system to evaluate the IHC staining patterns is as follows:</w:t>
      </w:r>
    </w:p>
    <w:tbl>
      <w:tblPr>
        <w:tblW w:w="90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00"/>
        <w:gridCol w:w="5095"/>
        <w:gridCol w:w="2160"/>
      </w:tblGrid>
      <w:tr w:rsidR="00AF2C5E" w:rsidRPr="00AF2C5E" w14:paraId="3F7650C3" w14:textId="77777777">
        <w:trPr>
          <w:cantSplit/>
        </w:trPr>
        <w:tc>
          <w:tcPr>
            <w:tcW w:w="1800" w:type="dxa"/>
            <w:vAlign w:val="center"/>
          </w:tcPr>
          <w:p w14:paraId="43153B7F" w14:textId="77777777" w:rsidR="00AF2C5E" w:rsidRPr="00AF2C5E" w:rsidRDefault="00AF2C5E">
            <w:pPr>
              <w:pStyle w:val="T1"/>
              <w:keepNext/>
              <w:jc w:val="center"/>
              <w:rPr>
                <w:rFonts w:cs="Arial"/>
                <w:szCs w:val="24"/>
              </w:rPr>
            </w:pPr>
            <w:r w:rsidRPr="00AF2C5E">
              <w:rPr>
                <w:rFonts w:cs="Arial"/>
                <w:b/>
                <w:szCs w:val="24"/>
              </w:rPr>
              <w:lastRenderedPageBreak/>
              <w:t>Staining intensity score</w:t>
            </w:r>
          </w:p>
        </w:tc>
        <w:tc>
          <w:tcPr>
            <w:tcW w:w="5095" w:type="dxa"/>
            <w:vAlign w:val="center"/>
          </w:tcPr>
          <w:p w14:paraId="20983CE6" w14:textId="77777777" w:rsidR="00AF2C5E" w:rsidRPr="00AF2C5E" w:rsidRDefault="00AF2C5E">
            <w:pPr>
              <w:pStyle w:val="T1"/>
              <w:keepNext/>
              <w:jc w:val="center"/>
              <w:rPr>
                <w:rFonts w:cs="Arial"/>
                <w:szCs w:val="24"/>
              </w:rPr>
            </w:pPr>
            <w:r w:rsidRPr="00AF2C5E">
              <w:rPr>
                <w:rFonts w:cs="Arial"/>
                <w:b/>
                <w:szCs w:val="24"/>
              </w:rPr>
              <w:t>Staining pattern</w:t>
            </w:r>
          </w:p>
        </w:tc>
        <w:tc>
          <w:tcPr>
            <w:tcW w:w="2160" w:type="dxa"/>
            <w:vAlign w:val="center"/>
          </w:tcPr>
          <w:p w14:paraId="0B651228" w14:textId="77777777" w:rsidR="00AF2C5E" w:rsidRPr="00AF2C5E" w:rsidRDefault="00AF2C5E">
            <w:pPr>
              <w:pStyle w:val="T1"/>
              <w:keepNext/>
              <w:jc w:val="center"/>
              <w:rPr>
                <w:rFonts w:cs="Arial"/>
                <w:szCs w:val="24"/>
              </w:rPr>
            </w:pPr>
            <w:r w:rsidRPr="00AF2C5E">
              <w:rPr>
                <w:rFonts w:cs="Arial"/>
                <w:b/>
                <w:szCs w:val="24"/>
              </w:rPr>
              <w:t>HER2 overexpression assessment</w:t>
            </w:r>
          </w:p>
        </w:tc>
      </w:tr>
      <w:tr w:rsidR="00AF2C5E" w:rsidRPr="00AF2C5E" w14:paraId="5F49238A" w14:textId="77777777">
        <w:trPr>
          <w:cantSplit/>
        </w:trPr>
        <w:tc>
          <w:tcPr>
            <w:tcW w:w="1800" w:type="dxa"/>
            <w:vAlign w:val="center"/>
          </w:tcPr>
          <w:p w14:paraId="39052693" w14:textId="77777777" w:rsidR="00AF2C5E" w:rsidRPr="00AF2C5E" w:rsidRDefault="00AF2C5E">
            <w:pPr>
              <w:pStyle w:val="T1"/>
              <w:keepNext/>
              <w:jc w:val="center"/>
              <w:rPr>
                <w:rFonts w:cs="Arial"/>
                <w:szCs w:val="24"/>
              </w:rPr>
            </w:pPr>
            <w:r w:rsidRPr="00AF2C5E">
              <w:rPr>
                <w:rFonts w:cs="Arial"/>
                <w:szCs w:val="24"/>
              </w:rPr>
              <w:t>0</w:t>
            </w:r>
          </w:p>
        </w:tc>
        <w:tc>
          <w:tcPr>
            <w:tcW w:w="5095" w:type="dxa"/>
            <w:vAlign w:val="center"/>
          </w:tcPr>
          <w:p w14:paraId="15A5B829" w14:textId="77777777" w:rsidR="00AF2C5E" w:rsidRPr="00AF2C5E" w:rsidRDefault="00AF2C5E">
            <w:pPr>
              <w:pStyle w:val="T1"/>
              <w:keepNext/>
              <w:jc w:val="center"/>
              <w:rPr>
                <w:rFonts w:cs="Arial"/>
                <w:szCs w:val="24"/>
              </w:rPr>
            </w:pPr>
            <w:r w:rsidRPr="00AF2C5E">
              <w:rPr>
                <w:rFonts w:cs="Arial"/>
                <w:szCs w:val="24"/>
              </w:rPr>
              <w:t>No staining is observed or membrane staining is observed in &lt;10% of the tumour cells</w:t>
            </w:r>
          </w:p>
        </w:tc>
        <w:tc>
          <w:tcPr>
            <w:tcW w:w="2160" w:type="dxa"/>
            <w:vAlign w:val="center"/>
          </w:tcPr>
          <w:p w14:paraId="1196BFCF" w14:textId="77777777" w:rsidR="00AF2C5E" w:rsidRPr="00AF2C5E" w:rsidRDefault="00AF2C5E">
            <w:pPr>
              <w:pStyle w:val="T1"/>
              <w:keepNext/>
              <w:jc w:val="center"/>
              <w:rPr>
                <w:rFonts w:cs="Arial"/>
                <w:szCs w:val="24"/>
              </w:rPr>
            </w:pPr>
            <w:r w:rsidRPr="00AF2C5E">
              <w:rPr>
                <w:rFonts w:cs="Arial"/>
                <w:szCs w:val="24"/>
              </w:rPr>
              <w:t>Negative</w:t>
            </w:r>
          </w:p>
        </w:tc>
      </w:tr>
      <w:tr w:rsidR="00AF2C5E" w:rsidRPr="00AF2C5E" w14:paraId="113ED7AF" w14:textId="77777777">
        <w:trPr>
          <w:cantSplit/>
        </w:trPr>
        <w:tc>
          <w:tcPr>
            <w:tcW w:w="1800" w:type="dxa"/>
            <w:vAlign w:val="center"/>
          </w:tcPr>
          <w:p w14:paraId="13E55FF1" w14:textId="77777777" w:rsidR="00AF2C5E" w:rsidRPr="00AF2C5E" w:rsidRDefault="00AF2C5E">
            <w:pPr>
              <w:pStyle w:val="T1"/>
              <w:keepNext/>
              <w:jc w:val="center"/>
              <w:rPr>
                <w:rFonts w:cs="Arial"/>
                <w:szCs w:val="24"/>
              </w:rPr>
            </w:pPr>
            <w:r w:rsidRPr="00AF2C5E">
              <w:rPr>
                <w:rFonts w:cs="Arial"/>
                <w:szCs w:val="24"/>
              </w:rPr>
              <w:t>1+</w:t>
            </w:r>
          </w:p>
        </w:tc>
        <w:tc>
          <w:tcPr>
            <w:tcW w:w="5095" w:type="dxa"/>
            <w:vAlign w:val="center"/>
          </w:tcPr>
          <w:p w14:paraId="619E6F39" w14:textId="77777777" w:rsidR="00AF2C5E" w:rsidRPr="00AF2C5E" w:rsidRDefault="00AF2C5E">
            <w:pPr>
              <w:pStyle w:val="T1"/>
              <w:keepNext/>
              <w:jc w:val="center"/>
              <w:rPr>
                <w:rFonts w:cs="Arial"/>
                <w:szCs w:val="24"/>
              </w:rPr>
            </w:pPr>
            <w:r w:rsidRPr="00AF2C5E">
              <w:rPr>
                <w:rFonts w:cs="Arial"/>
                <w:szCs w:val="24"/>
              </w:rPr>
              <w:t>Weak/barely perceptible membrane staining is detected in &gt;10% of the tumour cells. The cells are only stained in part of their membrane.</w:t>
            </w:r>
          </w:p>
        </w:tc>
        <w:tc>
          <w:tcPr>
            <w:tcW w:w="2160" w:type="dxa"/>
            <w:vAlign w:val="center"/>
          </w:tcPr>
          <w:p w14:paraId="161DD346" w14:textId="77777777" w:rsidR="00AF2C5E" w:rsidRPr="00AF2C5E" w:rsidRDefault="00AF2C5E">
            <w:pPr>
              <w:pStyle w:val="T1"/>
              <w:keepNext/>
              <w:jc w:val="center"/>
              <w:rPr>
                <w:rFonts w:cs="Arial"/>
                <w:szCs w:val="24"/>
              </w:rPr>
            </w:pPr>
            <w:r w:rsidRPr="00AF2C5E">
              <w:rPr>
                <w:rFonts w:cs="Arial"/>
                <w:szCs w:val="24"/>
              </w:rPr>
              <w:t>Negative</w:t>
            </w:r>
          </w:p>
        </w:tc>
      </w:tr>
      <w:tr w:rsidR="00AF2C5E" w:rsidRPr="00AF2C5E" w14:paraId="1A9E6500" w14:textId="77777777">
        <w:trPr>
          <w:cantSplit/>
        </w:trPr>
        <w:tc>
          <w:tcPr>
            <w:tcW w:w="1800" w:type="dxa"/>
            <w:vAlign w:val="center"/>
          </w:tcPr>
          <w:p w14:paraId="32E51158" w14:textId="77777777" w:rsidR="00AF2C5E" w:rsidRPr="00AF2C5E" w:rsidRDefault="00AF2C5E">
            <w:pPr>
              <w:pStyle w:val="T1"/>
              <w:keepNext/>
              <w:jc w:val="center"/>
              <w:rPr>
                <w:rFonts w:cs="Arial"/>
                <w:szCs w:val="24"/>
              </w:rPr>
            </w:pPr>
            <w:r w:rsidRPr="00AF2C5E">
              <w:rPr>
                <w:rFonts w:cs="Arial"/>
                <w:szCs w:val="24"/>
              </w:rPr>
              <w:t>2+</w:t>
            </w:r>
          </w:p>
        </w:tc>
        <w:tc>
          <w:tcPr>
            <w:tcW w:w="5095" w:type="dxa"/>
            <w:vAlign w:val="center"/>
          </w:tcPr>
          <w:p w14:paraId="18D71C5C" w14:textId="77777777" w:rsidR="00AF2C5E" w:rsidRPr="00AF2C5E" w:rsidRDefault="00AF2C5E">
            <w:pPr>
              <w:pStyle w:val="T1"/>
              <w:keepNext/>
              <w:jc w:val="center"/>
              <w:rPr>
                <w:rFonts w:cs="Arial"/>
                <w:szCs w:val="24"/>
              </w:rPr>
            </w:pPr>
            <w:r w:rsidRPr="00AF2C5E">
              <w:rPr>
                <w:rFonts w:cs="Arial"/>
                <w:szCs w:val="24"/>
              </w:rPr>
              <w:t>Weak to moderate complete membrane staining is detected in &gt;10% of the tumour cells.</w:t>
            </w:r>
          </w:p>
        </w:tc>
        <w:tc>
          <w:tcPr>
            <w:tcW w:w="2160" w:type="dxa"/>
            <w:vAlign w:val="center"/>
          </w:tcPr>
          <w:p w14:paraId="0F67C287" w14:textId="77777777" w:rsidR="00AF2C5E" w:rsidRPr="00AF2C5E" w:rsidRDefault="00AF2C5E">
            <w:pPr>
              <w:pStyle w:val="T1"/>
              <w:keepNext/>
              <w:jc w:val="center"/>
              <w:rPr>
                <w:rFonts w:cs="Arial"/>
                <w:szCs w:val="24"/>
              </w:rPr>
            </w:pPr>
            <w:r w:rsidRPr="00AF2C5E">
              <w:rPr>
                <w:rFonts w:cs="Arial"/>
                <w:szCs w:val="24"/>
              </w:rPr>
              <w:t>Equivocal</w:t>
            </w:r>
          </w:p>
        </w:tc>
      </w:tr>
      <w:tr w:rsidR="00AF2C5E" w:rsidRPr="00AF2C5E" w14:paraId="2B4D9BF0" w14:textId="77777777">
        <w:trPr>
          <w:cantSplit/>
        </w:trPr>
        <w:tc>
          <w:tcPr>
            <w:tcW w:w="1800" w:type="dxa"/>
            <w:vAlign w:val="center"/>
          </w:tcPr>
          <w:p w14:paraId="49956E11" w14:textId="77777777" w:rsidR="00AF2C5E" w:rsidRPr="00AF2C5E" w:rsidRDefault="00AF2C5E">
            <w:pPr>
              <w:pStyle w:val="T1"/>
              <w:jc w:val="center"/>
              <w:rPr>
                <w:rFonts w:cs="Arial"/>
                <w:szCs w:val="24"/>
              </w:rPr>
            </w:pPr>
            <w:r w:rsidRPr="00AF2C5E">
              <w:rPr>
                <w:rFonts w:cs="Arial"/>
                <w:szCs w:val="24"/>
              </w:rPr>
              <w:t>3+</w:t>
            </w:r>
          </w:p>
        </w:tc>
        <w:tc>
          <w:tcPr>
            <w:tcW w:w="5095" w:type="dxa"/>
            <w:vAlign w:val="center"/>
          </w:tcPr>
          <w:p w14:paraId="04AC5D71" w14:textId="77777777" w:rsidR="00AF2C5E" w:rsidRPr="00AF2C5E" w:rsidRDefault="00AF2C5E">
            <w:pPr>
              <w:pStyle w:val="T1"/>
              <w:jc w:val="center"/>
              <w:rPr>
                <w:rFonts w:cs="Arial"/>
                <w:szCs w:val="24"/>
              </w:rPr>
            </w:pPr>
            <w:r w:rsidRPr="00AF2C5E">
              <w:rPr>
                <w:rFonts w:cs="Arial"/>
                <w:szCs w:val="24"/>
              </w:rPr>
              <w:t>Moderate to strong complete membrane staining is detected in &gt;10% of the tumour cells.</w:t>
            </w:r>
          </w:p>
        </w:tc>
        <w:tc>
          <w:tcPr>
            <w:tcW w:w="2160" w:type="dxa"/>
            <w:vAlign w:val="center"/>
          </w:tcPr>
          <w:p w14:paraId="638974AA" w14:textId="77777777" w:rsidR="00AF2C5E" w:rsidRPr="00AF2C5E" w:rsidRDefault="00AF2C5E">
            <w:pPr>
              <w:pStyle w:val="T1"/>
              <w:jc w:val="center"/>
              <w:rPr>
                <w:rFonts w:cs="Arial"/>
                <w:szCs w:val="24"/>
              </w:rPr>
            </w:pPr>
            <w:r w:rsidRPr="00AF2C5E">
              <w:rPr>
                <w:rFonts w:cs="Arial"/>
                <w:szCs w:val="24"/>
              </w:rPr>
              <w:t>Positive</w:t>
            </w:r>
          </w:p>
        </w:tc>
      </w:tr>
    </w:tbl>
    <w:p w14:paraId="5B641B88" w14:textId="77777777" w:rsidR="00AF2C5E" w:rsidRDefault="00AF2C5E">
      <w:pPr>
        <w:pStyle w:val="J2"/>
      </w:pPr>
      <w:r>
        <w:t>In general, FISH is considered positive if the ratio of the HER2 gene copy number per tumour cell to the chromosome 17 copy number is greater than or equal to 2, or if there are more than 4 copies of the HER2 gene per tumour cell if no chromosome 17 control is used.</w:t>
      </w:r>
    </w:p>
    <w:p w14:paraId="2A8105FA" w14:textId="77777777" w:rsidR="00AF2C5E" w:rsidRDefault="00AF2C5E">
      <w:pPr>
        <w:pStyle w:val="J1"/>
      </w:pPr>
      <w:r>
        <w:t>In general, CISH is considered positive if there are more than 5 copies of the HER2 gene per nucleus in more than 50% of tumour cells.</w:t>
      </w:r>
    </w:p>
    <w:p w14:paraId="32CF0BEE" w14:textId="77777777" w:rsidR="00AF2C5E" w:rsidRDefault="00AF2C5E">
      <w:pPr>
        <w:pStyle w:val="J1"/>
      </w:pPr>
      <w:r>
        <w:t>For full instructions on assay performance and interpretation, please refer to the package inserts of validated FISH and CISH assays.</w:t>
      </w:r>
    </w:p>
    <w:p w14:paraId="4C098792" w14:textId="77777777" w:rsidR="00AF2C5E" w:rsidRDefault="00AF2C5E">
      <w:pPr>
        <w:rPr>
          <w:rFonts w:ascii="Times New Roman" w:hAnsi="Times New Roman"/>
        </w:rPr>
      </w:pPr>
      <w:r>
        <w:rPr>
          <w:rFonts w:ascii="Times New Roman" w:hAnsi="Times New Roman" w:cs="Arial"/>
          <w:noProof/>
          <w:szCs w:val="24"/>
          <w:lang w:bidi="he-IL"/>
        </w:rPr>
        <w:t>Detection of HER2 overexpression or HER2 gene amplification in metastatic gastric cancer or cancer of the gastro-oesophageal junction.</w:t>
      </w:r>
    </w:p>
    <w:p w14:paraId="24A2CB46" w14:textId="77777777" w:rsidR="00AF2C5E" w:rsidRDefault="00AF2C5E">
      <w:pPr>
        <w:pStyle w:val="J1"/>
      </w:pPr>
      <w:r>
        <w:t xml:space="preserve">Only a reliable and validated assay should be used to detect HER2 overexpression or HER2 gene amplification. IHC is recommended as the first testing modality. In cases where additional HER2 gene amplification status is also required, either silver-enhanced </w:t>
      </w:r>
      <w:r>
        <w:rPr>
          <w:i/>
        </w:rPr>
        <w:t>in situ</w:t>
      </w:r>
      <w:r>
        <w:t xml:space="preserve"> hybridisation (SISH) or a FISH technique must be used. To obtain accurate and reproducible results, testing must be performed in specialised laboratories that can ensure validation of the testing procedures. For full instructions on assay performance and interpretation, please refer to the package inserts of validated FISH and SISH assays.</w:t>
      </w:r>
    </w:p>
    <w:p w14:paraId="145D111A" w14:textId="77777777" w:rsidR="00AF2C5E" w:rsidRDefault="00AF2C5E">
      <w:pPr>
        <w:pStyle w:val="J1"/>
      </w:pPr>
      <w:r>
        <w:t>In the ToGA study, patients whose tumours were either IHC3+ or FISH-positive were defined as HER2-positive and thus included in the trial. Based on the clinical study results, the beneficial effects were limited to patients with the highest level of HER2 protein overexpression, defined by a 3+ score by IHC, or a 2+ score by IHC and a positive FISH result.</w:t>
      </w:r>
    </w:p>
    <w:p w14:paraId="5165CFA9" w14:textId="77777777" w:rsidR="00AF2C5E" w:rsidRDefault="00AF2C5E">
      <w:pPr>
        <w:pStyle w:val="J1"/>
      </w:pPr>
      <w:r>
        <w:t>In a method comparison study (study D008548), a high degree of concordance (&gt;95%) was observed between SISH and FISH techniques for the detection of HER2 gene amplification in gastric cancer patients.</w:t>
      </w:r>
    </w:p>
    <w:p w14:paraId="49DC6F98" w14:textId="77777777" w:rsidR="00AF2C5E" w:rsidRDefault="00AF2C5E">
      <w:pPr>
        <w:pStyle w:val="J1"/>
      </w:pPr>
      <w:r>
        <w:t>Herceptin should only be used in patients whose tumours exhibit strong HER2 overexpression, i.e. IHC3+ or IHC2+ plus a positive FISH or SISH result.</w:t>
      </w:r>
    </w:p>
    <w:p w14:paraId="28B1F4F5" w14:textId="77777777" w:rsidR="00AF2C5E" w:rsidRDefault="00AF2C5E">
      <w:pPr>
        <w:pStyle w:val="J1"/>
      </w:pPr>
      <w:r>
        <w:t xml:space="preserve">HER2 gene amplification should be detected using </w:t>
      </w:r>
      <w:r>
        <w:rPr>
          <w:i/>
        </w:rPr>
        <w:t>in situ</w:t>
      </w:r>
      <w:r>
        <w:t xml:space="preserve"> hybridisation, e.g. FISH or SISH of fixed tumour blocks.</w:t>
      </w:r>
    </w:p>
    <w:p w14:paraId="4E0F3392" w14:textId="77777777" w:rsidR="00AF2C5E" w:rsidRDefault="00AF2C5E">
      <w:pPr>
        <w:pStyle w:val="J1"/>
        <w:spacing w:after="240"/>
      </w:pPr>
      <w:r>
        <w:t>The recommended scoring system to evaluate the IHC staining patterns is as follows:</w:t>
      </w:r>
    </w:p>
    <w:tbl>
      <w:tblPr>
        <w:tblW w:w="90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7"/>
        <w:gridCol w:w="2919"/>
        <w:gridCol w:w="2919"/>
        <w:gridCol w:w="2160"/>
      </w:tblGrid>
      <w:tr w:rsidR="00AF2C5E" w:rsidRPr="00AF2C5E" w14:paraId="40440F90" w14:textId="77777777">
        <w:trPr>
          <w:cantSplit/>
        </w:trPr>
        <w:tc>
          <w:tcPr>
            <w:tcW w:w="1057" w:type="dxa"/>
            <w:vAlign w:val="center"/>
          </w:tcPr>
          <w:p w14:paraId="383A3657" w14:textId="77777777" w:rsidR="00AF2C5E" w:rsidRPr="00AF2C5E" w:rsidRDefault="00AF2C5E">
            <w:pPr>
              <w:pStyle w:val="T1"/>
              <w:keepNext/>
              <w:jc w:val="center"/>
              <w:rPr>
                <w:rFonts w:cs="Arial"/>
                <w:szCs w:val="24"/>
              </w:rPr>
            </w:pPr>
            <w:r w:rsidRPr="00AF2C5E">
              <w:rPr>
                <w:rFonts w:cs="Arial"/>
                <w:b/>
                <w:szCs w:val="24"/>
              </w:rPr>
              <w:lastRenderedPageBreak/>
              <w:t>Score</w:t>
            </w:r>
          </w:p>
        </w:tc>
        <w:tc>
          <w:tcPr>
            <w:tcW w:w="2919" w:type="dxa"/>
            <w:vAlign w:val="center"/>
          </w:tcPr>
          <w:p w14:paraId="2C437A54" w14:textId="77777777" w:rsidR="00AF2C5E" w:rsidRPr="00AF2C5E" w:rsidRDefault="00AF2C5E">
            <w:pPr>
              <w:pStyle w:val="T1"/>
              <w:keepNext/>
              <w:jc w:val="center"/>
              <w:rPr>
                <w:rFonts w:cs="Arial"/>
                <w:szCs w:val="24"/>
              </w:rPr>
            </w:pPr>
            <w:r w:rsidRPr="00AF2C5E">
              <w:rPr>
                <w:rFonts w:cs="Arial"/>
                <w:b/>
                <w:szCs w:val="24"/>
              </w:rPr>
              <w:t>Surgical specimen –</w:t>
            </w:r>
            <w:r w:rsidRPr="00AF2C5E">
              <w:rPr>
                <w:rFonts w:cs="Arial"/>
                <w:b/>
                <w:szCs w:val="24"/>
              </w:rPr>
              <w:br/>
              <w:t>Staining pattern</w:t>
            </w:r>
          </w:p>
        </w:tc>
        <w:tc>
          <w:tcPr>
            <w:tcW w:w="2919" w:type="dxa"/>
            <w:vAlign w:val="center"/>
          </w:tcPr>
          <w:p w14:paraId="33B8B05F" w14:textId="77777777" w:rsidR="00AF2C5E" w:rsidRPr="00AF2C5E" w:rsidRDefault="00AF2C5E">
            <w:pPr>
              <w:pStyle w:val="T1"/>
              <w:keepNext/>
              <w:jc w:val="center"/>
              <w:rPr>
                <w:rFonts w:cs="Arial"/>
                <w:szCs w:val="24"/>
              </w:rPr>
            </w:pPr>
            <w:r w:rsidRPr="00AF2C5E">
              <w:rPr>
                <w:rFonts w:cs="Arial"/>
                <w:b/>
                <w:szCs w:val="24"/>
              </w:rPr>
              <w:t>Biopsy specimen –</w:t>
            </w:r>
            <w:r w:rsidRPr="00AF2C5E">
              <w:rPr>
                <w:rFonts w:cs="Arial"/>
                <w:b/>
                <w:szCs w:val="24"/>
              </w:rPr>
              <w:br/>
              <w:t>Staining pattern</w:t>
            </w:r>
          </w:p>
        </w:tc>
        <w:tc>
          <w:tcPr>
            <w:tcW w:w="2160" w:type="dxa"/>
            <w:vAlign w:val="center"/>
          </w:tcPr>
          <w:p w14:paraId="4F530DC5" w14:textId="77777777" w:rsidR="00AF2C5E" w:rsidRPr="00AF2C5E" w:rsidRDefault="00AF2C5E">
            <w:pPr>
              <w:pStyle w:val="T1"/>
              <w:keepNext/>
              <w:jc w:val="center"/>
              <w:rPr>
                <w:rFonts w:cs="Arial"/>
                <w:szCs w:val="24"/>
              </w:rPr>
            </w:pPr>
            <w:r w:rsidRPr="00AF2C5E">
              <w:rPr>
                <w:rFonts w:cs="Arial"/>
                <w:b/>
                <w:szCs w:val="24"/>
              </w:rPr>
              <w:t>HER2 overexpression assessment</w:t>
            </w:r>
          </w:p>
        </w:tc>
      </w:tr>
      <w:tr w:rsidR="00AF2C5E" w:rsidRPr="00AF2C5E" w14:paraId="7DE5D610" w14:textId="77777777">
        <w:trPr>
          <w:cantSplit/>
        </w:trPr>
        <w:tc>
          <w:tcPr>
            <w:tcW w:w="1057" w:type="dxa"/>
            <w:vAlign w:val="center"/>
          </w:tcPr>
          <w:p w14:paraId="0E15EEB8" w14:textId="77777777" w:rsidR="00AF2C5E" w:rsidRPr="00AF2C5E" w:rsidRDefault="00AF2C5E">
            <w:pPr>
              <w:pStyle w:val="T1"/>
              <w:keepNext/>
              <w:jc w:val="center"/>
              <w:rPr>
                <w:rFonts w:cs="Arial"/>
                <w:szCs w:val="24"/>
              </w:rPr>
            </w:pPr>
            <w:r w:rsidRPr="00AF2C5E">
              <w:rPr>
                <w:rFonts w:cs="Arial"/>
                <w:szCs w:val="24"/>
              </w:rPr>
              <w:t>0</w:t>
            </w:r>
          </w:p>
        </w:tc>
        <w:tc>
          <w:tcPr>
            <w:tcW w:w="2919" w:type="dxa"/>
            <w:vAlign w:val="center"/>
          </w:tcPr>
          <w:p w14:paraId="7A73AF6E" w14:textId="77777777" w:rsidR="00AF2C5E" w:rsidRPr="00AF2C5E" w:rsidRDefault="00AF2C5E">
            <w:pPr>
              <w:pStyle w:val="T1"/>
              <w:keepNext/>
              <w:jc w:val="center"/>
              <w:rPr>
                <w:rFonts w:cs="Arial"/>
                <w:szCs w:val="24"/>
              </w:rPr>
            </w:pPr>
            <w:r w:rsidRPr="00AF2C5E">
              <w:rPr>
                <w:rFonts w:cs="Arial"/>
                <w:szCs w:val="24"/>
              </w:rPr>
              <w:t>No reactivity or membranous reactivity in &lt;10% of tumour cells</w:t>
            </w:r>
          </w:p>
        </w:tc>
        <w:tc>
          <w:tcPr>
            <w:tcW w:w="2919" w:type="dxa"/>
            <w:vAlign w:val="center"/>
          </w:tcPr>
          <w:p w14:paraId="431DFDB5" w14:textId="77777777" w:rsidR="00AF2C5E" w:rsidRPr="00AF2C5E" w:rsidRDefault="00AF2C5E">
            <w:pPr>
              <w:pStyle w:val="T1"/>
              <w:keepNext/>
              <w:jc w:val="center"/>
              <w:rPr>
                <w:rFonts w:cs="Arial"/>
                <w:szCs w:val="24"/>
              </w:rPr>
            </w:pPr>
            <w:r w:rsidRPr="00AF2C5E">
              <w:rPr>
                <w:rFonts w:cs="Arial"/>
                <w:szCs w:val="24"/>
              </w:rPr>
              <w:t>No reactivity or membranous reactivity in any tumour cell</w:t>
            </w:r>
          </w:p>
        </w:tc>
        <w:tc>
          <w:tcPr>
            <w:tcW w:w="2160" w:type="dxa"/>
            <w:vAlign w:val="center"/>
          </w:tcPr>
          <w:p w14:paraId="709ACE36" w14:textId="77777777" w:rsidR="00AF2C5E" w:rsidRPr="00AF2C5E" w:rsidRDefault="00AF2C5E">
            <w:pPr>
              <w:pStyle w:val="T1"/>
              <w:keepNext/>
              <w:jc w:val="center"/>
              <w:rPr>
                <w:rFonts w:cs="Arial"/>
                <w:szCs w:val="24"/>
              </w:rPr>
            </w:pPr>
            <w:r w:rsidRPr="00AF2C5E">
              <w:rPr>
                <w:rFonts w:cs="Arial"/>
                <w:szCs w:val="24"/>
              </w:rPr>
              <w:t>Negative</w:t>
            </w:r>
          </w:p>
        </w:tc>
      </w:tr>
      <w:tr w:rsidR="00AF2C5E" w:rsidRPr="00AF2C5E" w14:paraId="14D1C7C8" w14:textId="77777777">
        <w:trPr>
          <w:cantSplit/>
        </w:trPr>
        <w:tc>
          <w:tcPr>
            <w:tcW w:w="1057" w:type="dxa"/>
            <w:vAlign w:val="center"/>
          </w:tcPr>
          <w:p w14:paraId="75522C1B" w14:textId="77777777" w:rsidR="00AF2C5E" w:rsidRPr="00AF2C5E" w:rsidRDefault="00AF2C5E">
            <w:pPr>
              <w:pStyle w:val="T1"/>
              <w:keepNext/>
              <w:jc w:val="center"/>
              <w:rPr>
                <w:rFonts w:cs="Arial"/>
                <w:szCs w:val="24"/>
              </w:rPr>
            </w:pPr>
            <w:r w:rsidRPr="00AF2C5E">
              <w:rPr>
                <w:rFonts w:cs="Arial"/>
                <w:szCs w:val="24"/>
              </w:rPr>
              <w:t>1+</w:t>
            </w:r>
          </w:p>
        </w:tc>
        <w:tc>
          <w:tcPr>
            <w:tcW w:w="2919" w:type="dxa"/>
            <w:vAlign w:val="center"/>
          </w:tcPr>
          <w:p w14:paraId="6C72F13B" w14:textId="77777777" w:rsidR="00AF2C5E" w:rsidRPr="00AF2C5E" w:rsidRDefault="00AF2C5E">
            <w:pPr>
              <w:pStyle w:val="T1"/>
              <w:keepNext/>
              <w:jc w:val="center"/>
              <w:rPr>
                <w:rFonts w:cs="Arial"/>
                <w:szCs w:val="24"/>
              </w:rPr>
            </w:pPr>
            <w:r w:rsidRPr="00AF2C5E">
              <w:rPr>
                <w:rFonts w:cs="Arial"/>
                <w:szCs w:val="24"/>
              </w:rPr>
              <w:t>Faint/barely perceptible membranous reactivity in ≥10% of tumour cells; cells are reactive only in part of their membrane</w:t>
            </w:r>
          </w:p>
        </w:tc>
        <w:tc>
          <w:tcPr>
            <w:tcW w:w="2919" w:type="dxa"/>
            <w:vAlign w:val="center"/>
          </w:tcPr>
          <w:p w14:paraId="109D5428" w14:textId="77777777" w:rsidR="00AF2C5E" w:rsidRPr="00AF2C5E" w:rsidRDefault="00AF2C5E">
            <w:pPr>
              <w:pStyle w:val="T1"/>
              <w:keepNext/>
              <w:jc w:val="center"/>
              <w:rPr>
                <w:rFonts w:cs="Arial"/>
                <w:szCs w:val="24"/>
              </w:rPr>
            </w:pPr>
            <w:r w:rsidRPr="00AF2C5E">
              <w:rPr>
                <w:rFonts w:cs="Arial"/>
                <w:szCs w:val="24"/>
              </w:rPr>
              <w:t>Tumour cell cluster with a faint/barely perceptible membranous reactivity irrespective of percentage of tumour cells stained</w:t>
            </w:r>
          </w:p>
        </w:tc>
        <w:tc>
          <w:tcPr>
            <w:tcW w:w="2160" w:type="dxa"/>
            <w:vAlign w:val="center"/>
          </w:tcPr>
          <w:p w14:paraId="7EB22F69" w14:textId="77777777" w:rsidR="00AF2C5E" w:rsidRPr="00AF2C5E" w:rsidRDefault="00AF2C5E">
            <w:pPr>
              <w:pStyle w:val="T1"/>
              <w:keepNext/>
              <w:jc w:val="center"/>
              <w:rPr>
                <w:rFonts w:cs="Arial"/>
                <w:szCs w:val="24"/>
              </w:rPr>
            </w:pPr>
            <w:r w:rsidRPr="00AF2C5E">
              <w:rPr>
                <w:rFonts w:cs="Arial"/>
                <w:szCs w:val="24"/>
              </w:rPr>
              <w:t>Negative</w:t>
            </w:r>
          </w:p>
        </w:tc>
      </w:tr>
      <w:tr w:rsidR="00AF2C5E" w:rsidRPr="00AF2C5E" w14:paraId="3C45A697" w14:textId="77777777">
        <w:trPr>
          <w:cantSplit/>
        </w:trPr>
        <w:tc>
          <w:tcPr>
            <w:tcW w:w="1057" w:type="dxa"/>
            <w:vAlign w:val="center"/>
          </w:tcPr>
          <w:p w14:paraId="4EEA0837" w14:textId="77777777" w:rsidR="00AF2C5E" w:rsidRPr="00AF2C5E" w:rsidRDefault="00AF2C5E">
            <w:pPr>
              <w:pStyle w:val="T1"/>
              <w:keepNext/>
              <w:jc w:val="center"/>
              <w:rPr>
                <w:rFonts w:cs="Arial"/>
                <w:szCs w:val="24"/>
              </w:rPr>
            </w:pPr>
            <w:r w:rsidRPr="00AF2C5E">
              <w:rPr>
                <w:rFonts w:cs="Arial"/>
                <w:szCs w:val="24"/>
              </w:rPr>
              <w:t>2+</w:t>
            </w:r>
          </w:p>
        </w:tc>
        <w:tc>
          <w:tcPr>
            <w:tcW w:w="2919" w:type="dxa"/>
            <w:vAlign w:val="center"/>
          </w:tcPr>
          <w:p w14:paraId="034A078B" w14:textId="77777777" w:rsidR="00AF2C5E" w:rsidRPr="00AF2C5E" w:rsidRDefault="00AF2C5E">
            <w:pPr>
              <w:pStyle w:val="T1"/>
              <w:keepNext/>
              <w:jc w:val="center"/>
              <w:rPr>
                <w:rFonts w:cs="Arial"/>
                <w:szCs w:val="24"/>
              </w:rPr>
            </w:pPr>
            <w:r w:rsidRPr="00AF2C5E">
              <w:rPr>
                <w:rFonts w:cs="Arial"/>
                <w:szCs w:val="24"/>
              </w:rPr>
              <w:t>Weak to moderate complete or basolateral membranous reactivity in ≥10% of tumour cells</w:t>
            </w:r>
          </w:p>
        </w:tc>
        <w:tc>
          <w:tcPr>
            <w:tcW w:w="2919" w:type="dxa"/>
            <w:vAlign w:val="center"/>
          </w:tcPr>
          <w:p w14:paraId="4A0FFFA4" w14:textId="77777777" w:rsidR="00AF2C5E" w:rsidRPr="00AF2C5E" w:rsidRDefault="00AF2C5E">
            <w:pPr>
              <w:pStyle w:val="T1"/>
              <w:keepNext/>
              <w:jc w:val="center"/>
              <w:rPr>
                <w:rFonts w:cs="Arial"/>
                <w:szCs w:val="24"/>
              </w:rPr>
            </w:pPr>
            <w:r w:rsidRPr="00AF2C5E">
              <w:rPr>
                <w:rFonts w:cs="Arial"/>
                <w:szCs w:val="24"/>
              </w:rPr>
              <w:t>Tumour cell cluster with a weak to moderate complete, basolateral or lateral membranous reactivity irrespective of percentage of tumour cells stained</w:t>
            </w:r>
          </w:p>
        </w:tc>
        <w:tc>
          <w:tcPr>
            <w:tcW w:w="2160" w:type="dxa"/>
            <w:vAlign w:val="center"/>
          </w:tcPr>
          <w:p w14:paraId="62CF0D7F" w14:textId="77777777" w:rsidR="00AF2C5E" w:rsidRPr="00AF2C5E" w:rsidRDefault="00AF2C5E">
            <w:pPr>
              <w:pStyle w:val="T1"/>
              <w:keepNext/>
              <w:jc w:val="center"/>
              <w:rPr>
                <w:rFonts w:cs="Arial"/>
                <w:szCs w:val="24"/>
              </w:rPr>
            </w:pPr>
            <w:r w:rsidRPr="00AF2C5E">
              <w:rPr>
                <w:rFonts w:cs="Arial"/>
                <w:szCs w:val="24"/>
              </w:rPr>
              <w:t>Equivocal</w:t>
            </w:r>
          </w:p>
        </w:tc>
      </w:tr>
      <w:tr w:rsidR="00AF2C5E" w:rsidRPr="00AF2C5E" w14:paraId="6D7288F2" w14:textId="77777777">
        <w:trPr>
          <w:cantSplit/>
        </w:trPr>
        <w:tc>
          <w:tcPr>
            <w:tcW w:w="1057" w:type="dxa"/>
            <w:vAlign w:val="center"/>
          </w:tcPr>
          <w:p w14:paraId="5714C672" w14:textId="77777777" w:rsidR="00AF2C5E" w:rsidRPr="00AF2C5E" w:rsidRDefault="00AF2C5E">
            <w:pPr>
              <w:pStyle w:val="T1"/>
              <w:jc w:val="center"/>
              <w:rPr>
                <w:rFonts w:cs="Arial"/>
                <w:szCs w:val="24"/>
              </w:rPr>
            </w:pPr>
            <w:r w:rsidRPr="00AF2C5E">
              <w:rPr>
                <w:rFonts w:cs="Arial"/>
                <w:szCs w:val="24"/>
              </w:rPr>
              <w:t>3+</w:t>
            </w:r>
          </w:p>
        </w:tc>
        <w:tc>
          <w:tcPr>
            <w:tcW w:w="2919" w:type="dxa"/>
            <w:vAlign w:val="center"/>
          </w:tcPr>
          <w:p w14:paraId="530DEA37" w14:textId="77777777" w:rsidR="00AF2C5E" w:rsidRPr="00AF2C5E" w:rsidRDefault="00AF2C5E">
            <w:pPr>
              <w:pStyle w:val="T1"/>
              <w:jc w:val="center"/>
              <w:rPr>
                <w:rFonts w:cs="Arial"/>
                <w:szCs w:val="24"/>
              </w:rPr>
            </w:pPr>
            <w:r w:rsidRPr="00AF2C5E">
              <w:rPr>
                <w:rFonts w:cs="Arial"/>
                <w:szCs w:val="24"/>
              </w:rPr>
              <w:t>Strong complete, basolateral or lateral membranous reactivity in ≥10% of tumour cells</w:t>
            </w:r>
          </w:p>
        </w:tc>
        <w:tc>
          <w:tcPr>
            <w:tcW w:w="2919" w:type="dxa"/>
            <w:vAlign w:val="center"/>
          </w:tcPr>
          <w:p w14:paraId="57DF21E9" w14:textId="77777777" w:rsidR="00AF2C5E" w:rsidRPr="00AF2C5E" w:rsidRDefault="00AF2C5E">
            <w:pPr>
              <w:pStyle w:val="T1"/>
              <w:jc w:val="center"/>
              <w:rPr>
                <w:rFonts w:cs="Arial"/>
                <w:szCs w:val="24"/>
              </w:rPr>
            </w:pPr>
            <w:r w:rsidRPr="00AF2C5E">
              <w:rPr>
                <w:rFonts w:cs="Arial"/>
                <w:szCs w:val="24"/>
              </w:rPr>
              <w:t>Tumour cell cluster with a strong complete, basolateral or lateral membranous reactivity irrespective of percentage of tumour cells stained</w:t>
            </w:r>
          </w:p>
        </w:tc>
        <w:tc>
          <w:tcPr>
            <w:tcW w:w="2160" w:type="dxa"/>
            <w:vAlign w:val="center"/>
          </w:tcPr>
          <w:p w14:paraId="2624D0FF" w14:textId="77777777" w:rsidR="00AF2C5E" w:rsidRPr="00AF2C5E" w:rsidRDefault="00AF2C5E">
            <w:pPr>
              <w:pStyle w:val="T1"/>
              <w:jc w:val="center"/>
              <w:rPr>
                <w:rFonts w:cs="Arial"/>
                <w:szCs w:val="24"/>
              </w:rPr>
            </w:pPr>
            <w:r w:rsidRPr="00AF2C5E">
              <w:rPr>
                <w:rFonts w:cs="Arial"/>
                <w:szCs w:val="24"/>
              </w:rPr>
              <w:t>Positive</w:t>
            </w:r>
          </w:p>
        </w:tc>
      </w:tr>
    </w:tbl>
    <w:p w14:paraId="5DFCA299" w14:textId="77777777" w:rsidR="00AF2C5E" w:rsidRDefault="00AF2C5E">
      <w:pPr>
        <w:pStyle w:val="J2"/>
      </w:pPr>
      <w:r>
        <w:t>In general, the FISH or SISH assay result is considered positive if the ratio of the HER2 gene copy number per tumour cell to the chromosome 17 copy number is greater than or equal to 2.</w:t>
      </w:r>
    </w:p>
    <w:p w14:paraId="3FF6BCFF" w14:textId="77777777" w:rsidR="00AF2C5E" w:rsidRDefault="00AF2C5E">
      <w:pPr>
        <w:pStyle w:val="J1"/>
      </w:pPr>
      <w:r>
        <w:t>HER2 expression occurs mainly in the intestinal histological subtype. In contrast to breast cancer immunohistochemistry staining in gastric cancer is mostly incomplete.</w:t>
      </w:r>
    </w:p>
    <w:p w14:paraId="77BD4E50" w14:textId="77777777" w:rsidR="00AF2C5E" w:rsidRDefault="00AF2C5E">
      <w:pPr>
        <w:pStyle w:val="J1"/>
      </w:pPr>
      <w:r>
        <w:t>HER2 can be detected as a free molecule in plasma (shedding). However, the level of HER2 expression in plasma does not correlate with the clinical course. No data on shedding are available in gastric cancer.</w:t>
      </w:r>
    </w:p>
    <w:p w14:paraId="34723E70" w14:textId="77777777" w:rsidR="00AF2C5E" w:rsidRDefault="00AF2C5E">
      <w:pPr>
        <w:pStyle w:val="Heading3a"/>
        <w:rPr>
          <w:iCs w:val="0"/>
        </w:rPr>
      </w:pPr>
      <w:r>
        <w:rPr>
          <w:iCs w:val="0"/>
        </w:rPr>
        <w:t>Clinical efficacy</w:t>
      </w:r>
    </w:p>
    <w:p w14:paraId="1DD20D68" w14:textId="77777777" w:rsidR="00AF2C5E" w:rsidRDefault="00AF2C5E">
      <w:pPr>
        <w:pStyle w:val="Heading3a"/>
        <w:rPr>
          <w:iCs w:val="0"/>
        </w:rPr>
      </w:pPr>
      <w:r>
        <w:rPr>
          <w:iCs w:val="0"/>
        </w:rPr>
        <w:t>Metastatic breast cancer</w:t>
      </w:r>
    </w:p>
    <w:p w14:paraId="1E590388" w14:textId="77777777" w:rsidR="00AF2C5E" w:rsidRDefault="00AF2C5E">
      <w:pPr>
        <w:pStyle w:val="J1"/>
      </w:pPr>
      <w:r>
        <w:t>Herceptin has been used in clinical trials as monotherapy for patients with metastatic breast cancer who have tumours that overexpress HER2 and who have failed to respond to one or more chemotherapy regimens for their metastatic disease (Herceptin alone).</w:t>
      </w:r>
    </w:p>
    <w:p w14:paraId="57E94D73" w14:textId="77777777" w:rsidR="00AF2C5E" w:rsidRDefault="00AF2C5E">
      <w:pPr>
        <w:pStyle w:val="J1"/>
      </w:pPr>
      <w:r>
        <w:t>Herceptin has also been used in combination with paclitaxel or docetaxel for the treatment of patients who have not received chemotherapy for their metastatic breast cancer. Patients who had previously received anthracycline-based adjuvant chemotherapy were treated with paclitaxel (175 mg/m</w:t>
      </w:r>
      <w:r>
        <w:rPr>
          <w:vertAlign w:val="superscript"/>
        </w:rPr>
        <w:t>2</w:t>
      </w:r>
      <w:r>
        <w:t xml:space="preserve"> infused over 3 hours) with or without Herceptin. In the pivotal study of docetaxel (100 mg/m</w:t>
      </w:r>
      <w:r>
        <w:rPr>
          <w:vertAlign w:val="superscript"/>
        </w:rPr>
        <w:t xml:space="preserve">2 </w:t>
      </w:r>
      <w:r>
        <w:t>infused over 1 hour) with or without Herceptin, 60% of patients had received prior anthracycline-based adjuvant chemotherapy. Patients were treated with Herceptin until disease progression.</w:t>
      </w:r>
    </w:p>
    <w:p w14:paraId="2C4D14D6" w14:textId="77777777" w:rsidR="00AF2C5E" w:rsidRDefault="00AF2C5E">
      <w:pPr>
        <w:pStyle w:val="J1"/>
      </w:pPr>
      <w:r>
        <w:t>The efficacy of Herceptin combined with paclitaxel in patients receiving no adjuvant anthracycline chemotherapy has not been studied. Nevertheless, Herceptin plus docetaxel was effective in all patients – whether they received adjuvant anthracycline or not.</w:t>
      </w:r>
    </w:p>
    <w:p w14:paraId="24252A57" w14:textId="77777777" w:rsidR="00AF2C5E" w:rsidRDefault="00AF2C5E">
      <w:pPr>
        <w:pStyle w:val="J1"/>
      </w:pPr>
      <w:r>
        <w:t>The HER2 overexpression assay used to qualify patients in the pivotal study (Herceptin monotherapy and Herceptin plus paclitaxel) was based on immunohistochemical staining of HER2 in fixed material from breast cancer tumours using monoclonal murine antibodies CB11 and 4D5. These tissues were fixed in formalin or Bouin’s fluid. This clinical trial assay was performed in a central laboratory utilising a 0 to 3+ scale. Patients classified as staining 2+ or 3+ were included, while those staining 0 or 1+ were excluded. More than 70% of patients enrolled exhibited 3+ overexpression. The data suggest that beneficial effects were greater among those patients with higher levels of overexpression of HER2 (3+).</w:t>
      </w:r>
    </w:p>
    <w:p w14:paraId="40D601DB" w14:textId="77777777" w:rsidR="00AF2C5E" w:rsidRDefault="00AF2C5E">
      <w:pPr>
        <w:pStyle w:val="J1"/>
      </w:pPr>
      <w:r>
        <w:t>In the pivotal study of docetaxel with or without Herceptin, immunohistochemistry was the main method of testing for HER2 overexpression. A minority of patients were tested using FISH. In this study 87% of included patients displayed IHC3+ overexpression and 95% were IHC3+- and/or FISH-positive.</w:t>
      </w:r>
    </w:p>
    <w:p w14:paraId="6D11F583" w14:textId="77777777" w:rsidR="00AF2C5E" w:rsidRDefault="00AF2C5E">
      <w:pPr>
        <w:pStyle w:val="Heading3"/>
        <w:rPr>
          <w:iCs/>
        </w:rPr>
      </w:pPr>
      <w:r>
        <w:rPr>
          <w:iCs/>
        </w:rPr>
        <w:lastRenderedPageBreak/>
        <w:t>Combination therapy with Herceptin and paclitaxel or docetaxel:</w:t>
      </w:r>
    </w:p>
    <w:p w14:paraId="6504A351" w14:textId="77777777" w:rsidR="00AF2C5E" w:rsidRDefault="00AF2C5E">
      <w:pPr>
        <w:pStyle w:val="J1"/>
        <w:spacing w:after="240"/>
      </w:pPr>
      <w:r>
        <w:t>The following table summarises the efficacy results from the monotherapy and combination therapy studies (with paclitaxel or docetaxel):</w:t>
      </w:r>
    </w:p>
    <w:tbl>
      <w:tblPr>
        <w:tblW w:w="90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31"/>
        <w:gridCol w:w="1296"/>
        <w:gridCol w:w="1296"/>
        <w:gridCol w:w="1296"/>
        <w:gridCol w:w="1296"/>
        <w:gridCol w:w="1440"/>
      </w:tblGrid>
      <w:tr w:rsidR="00AF2C5E" w:rsidRPr="00AF2C5E" w14:paraId="72812728" w14:textId="77777777">
        <w:trPr>
          <w:cantSplit/>
        </w:trPr>
        <w:tc>
          <w:tcPr>
            <w:tcW w:w="2431" w:type="dxa"/>
          </w:tcPr>
          <w:p w14:paraId="7DFA36A9" w14:textId="77777777" w:rsidR="00AF2C5E" w:rsidRPr="00AF2C5E" w:rsidRDefault="00AF2C5E">
            <w:pPr>
              <w:pStyle w:val="T1"/>
              <w:keepNext/>
              <w:rPr>
                <w:rFonts w:cs="Arial"/>
                <w:szCs w:val="24"/>
              </w:rPr>
            </w:pPr>
            <w:r w:rsidRPr="00AF2C5E">
              <w:rPr>
                <w:rFonts w:cs="Arial"/>
                <w:b/>
                <w:szCs w:val="24"/>
              </w:rPr>
              <w:t>Parameter</w:t>
            </w:r>
          </w:p>
        </w:tc>
        <w:tc>
          <w:tcPr>
            <w:tcW w:w="5184" w:type="dxa"/>
            <w:gridSpan w:val="4"/>
          </w:tcPr>
          <w:p w14:paraId="030FE23E" w14:textId="77777777" w:rsidR="00AF2C5E" w:rsidRPr="00AF2C5E" w:rsidRDefault="00AF2C5E">
            <w:pPr>
              <w:pStyle w:val="T1"/>
              <w:keepNext/>
              <w:jc w:val="center"/>
              <w:rPr>
                <w:rFonts w:cs="Arial"/>
                <w:szCs w:val="24"/>
              </w:rPr>
            </w:pPr>
            <w:r w:rsidRPr="00AF2C5E">
              <w:rPr>
                <w:rFonts w:cs="Arial"/>
                <w:b/>
                <w:szCs w:val="24"/>
              </w:rPr>
              <w:t>Combination therapy</w:t>
            </w:r>
          </w:p>
        </w:tc>
        <w:tc>
          <w:tcPr>
            <w:tcW w:w="1440" w:type="dxa"/>
          </w:tcPr>
          <w:p w14:paraId="136706EB" w14:textId="77777777" w:rsidR="00AF2C5E" w:rsidRPr="00AF2C5E" w:rsidRDefault="00AF2C5E">
            <w:pPr>
              <w:pStyle w:val="T1"/>
              <w:keepNext/>
              <w:jc w:val="center"/>
              <w:rPr>
                <w:rFonts w:cs="Arial"/>
                <w:szCs w:val="24"/>
              </w:rPr>
            </w:pPr>
            <w:r w:rsidRPr="00AF2C5E">
              <w:rPr>
                <w:rFonts w:cs="Arial"/>
                <w:b/>
                <w:szCs w:val="24"/>
              </w:rPr>
              <w:t>Monotherapy</w:t>
            </w:r>
          </w:p>
        </w:tc>
      </w:tr>
      <w:tr w:rsidR="00AF2C5E" w:rsidRPr="00AF2C5E" w14:paraId="5D46A1F0" w14:textId="77777777">
        <w:trPr>
          <w:cantSplit/>
        </w:trPr>
        <w:tc>
          <w:tcPr>
            <w:tcW w:w="2431" w:type="dxa"/>
            <w:tcBorders>
              <w:bottom w:val="nil"/>
            </w:tcBorders>
          </w:tcPr>
          <w:p w14:paraId="5FC82CCE" w14:textId="77777777" w:rsidR="00AF2C5E" w:rsidRPr="00AF2C5E" w:rsidRDefault="00AF2C5E">
            <w:pPr>
              <w:pStyle w:val="T1"/>
              <w:keepNext/>
              <w:rPr>
                <w:rFonts w:cs="Arial"/>
                <w:b/>
                <w:szCs w:val="24"/>
              </w:rPr>
            </w:pPr>
          </w:p>
        </w:tc>
        <w:tc>
          <w:tcPr>
            <w:tcW w:w="1296" w:type="dxa"/>
            <w:tcBorders>
              <w:bottom w:val="nil"/>
            </w:tcBorders>
          </w:tcPr>
          <w:p w14:paraId="1D6BBDAB" w14:textId="77777777" w:rsidR="00AF2C5E" w:rsidRPr="00AF2C5E" w:rsidRDefault="00AF2C5E">
            <w:pPr>
              <w:pStyle w:val="T1"/>
              <w:keepNext/>
              <w:jc w:val="center"/>
              <w:rPr>
                <w:rFonts w:cs="Arial"/>
                <w:szCs w:val="24"/>
              </w:rPr>
            </w:pPr>
            <w:r w:rsidRPr="00AF2C5E">
              <w:rPr>
                <w:rFonts w:cs="Arial"/>
                <w:b/>
                <w:szCs w:val="24"/>
              </w:rPr>
              <w:t>Herceptin</w:t>
            </w:r>
            <w:r w:rsidRPr="00AF2C5E">
              <w:rPr>
                <w:rFonts w:cs="Arial"/>
                <w:b/>
                <w:szCs w:val="24"/>
              </w:rPr>
              <w:br/>
              <w:t>+ paclitaxel</w:t>
            </w:r>
            <w:r w:rsidRPr="00AF2C5E">
              <w:rPr>
                <w:rFonts w:cs="Arial"/>
                <w:b/>
                <w:szCs w:val="24"/>
                <w:vertAlign w:val="superscript"/>
              </w:rPr>
              <w:t>1</w:t>
            </w:r>
          </w:p>
        </w:tc>
        <w:tc>
          <w:tcPr>
            <w:tcW w:w="1296" w:type="dxa"/>
            <w:tcBorders>
              <w:bottom w:val="nil"/>
            </w:tcBorders>
          </w:tcPr>
          <w:p w14:paraId="49581300" w14:textId="77777777" w:rsidR="00AF2C5E" w:rsidRPr="00AF2C5E" w:rsidRDefault="00AF2C5E">
            <w:pPr>
              <w:pStyle w:val="T1"/>
              <w:keepNext/>
              <w:jc w:val="center"/>
              <w:rPr>
                <w:rFonts w:cs="Arial"/>
                <w:szCs w:val="24"/>
              </w:rPr>
            </w:pPr>
            <w:r w:rsidRPr="00AF2C5E">
              <w:rPr>
                <w:rFonts w:cs="Arial"/>
                <w:b/>
                <w:szCs w:val="24"/>
              </w:rPr>
              <w:t>Paclitaxel</w:t>
            </w:r>
            <w:r w:rsidRPr="00AF2C5E">
              <w:rPr>
                <w:rFonts w:cs="Arial"/>
                <w:b/>
                <w:szCs w:val="24"/>
                <w:vertAlign w:val="superscript"/>
              </w:rPr>
              <w:t>1</w:t>
            </w:r>
          </w:p>
        </w:tc>
        <w:tc>
          <w:tcPr>
            <w:tcW w:w="1296" w:type="dxa"/>
            <w:tcBorders>
              <w:bottom w:val="nil"/>
            </w:tcBorders>
          </w:tcPr>
          <w:p w14:paraId="52DDC496" w14:textId="77777777" w:rsidR="00AF2C5E" w:rsidRPr="00AF2C5E" w:rsidRDefault="00AF2C5E">
            <w:pPr>
              <w:pStyle w:val="T1"/>
              <w:keepNext/>
              <w:jc w:val="center"/>
              <w:rPr>
                <w:rFonts w:cs="Arial"/>
                <w:szCs w:val="24"/>
              </w:rPr>
            </w:pPr>
            <w:r w:rsidRPr="00AF2C5E">
              <w:rPr>
                <w:rFonts w:cs="Arial"/>
                <w:b/>
                <w:szCs w:val="24"/>
              </w:rPr>
              <w:t>Herceptin</w:t>
            </w:r>
            <w:r w:rsidRPr="00AF2C5E">
              <w:rPr>
                <w:rFonts w:cs="Arial"/>
                <w:b/>
                <w:szCs w:val="24"/>
              </w:rPr>
              <w:br/>
              <w:t>+ docetaxel</w:t>
            </w:r>
            <w:r w:rsidRPr="00AF2C5E">
              <w:rPr>
                <w:rFonts w:cs="Arial"/>
                <w:b/>
                <w:szCs w:val="24"/>
                <w:vertAlign w:val="superscript"/>
              </w:rPr>
              <w:t>2</w:t>
            </w:r>
          </w:p>
        </w:tc>
        <w:tc>
          <w:tcPr>
            <w:tcW w:w="1296" w:type="dxa"/>
            <w:tcBorders>
              <w:bottom w:val="nil"/>
            </w:tcBorders>
          </w:tcPr>
          <w:p w14:paraId="20CB8350" w14:textId="77777777" w:rsidR="00AF2C5E" w:rsidRPr="00AF2C5E" w:rsidRDefault="00AF2C5E">
            <w:pPr>
              <w:pStyle w:val="T1"/>
              <w:keepNext/>
              <w:jc w:val="center"/>
              <w:rPr>
                <w:rFonts w:cs="Arial"/>
                <w:szCs w:val="24"/>
              </w:rPr>
            </w:pPr>
            <w:r w:rsidRPr="00AF2C5E">
              <w:rPr>
                <w:rFonts w:cs="Arial"/>
                <w:b/>
                <w:szCs w:val="24"/>
              </w:rPr>
              <w:t>Docetaxel</w:t>
            </w:r>
            <w:r w:rsidRPr="00AF2C5E">
              <w:rPr>
                <w:rFonts w:cs="Arial"/>
                <w:b/>
                <w:szCs w:val="24"/>
                <w:vertAlign w:val="superscript"/>
              </w:rPr>
              <w:t>2</w:t>
            </w:r>
          </w:p>
        </w:tc>
        <w:tc>
          <w:tcPr>
            <w:tcW w:w="1440" w:type="dxa"/>
            <w:tcBorders>
              <w:bottom w:val="nil"/>
            </w:tcBorders>
          </w:tcPr>
          <w:p w14:paraId="3A795F37" w14:textId="77777777" w:rsidR="00AF2C5E" w:rsidRPr="00AF2C5E" w:rsidRDefault="00AF2C5E">
            <w:pPr>
              <w:pStyle w:val="T1"/>
              <w:keepNext/>
              <w:jc w:val="center"/>
              <w:rPr>
                <w:rFonts w:cs="Arial"/>
                <w:szCs w:val="24"/>
              </w:rPr>
            </w:pPr>
            <w:r w:rsidRPr="00AF2C5E">
              <w:rPr>
                <w:rFonts w:cs="Arial"/>
                <w:b/>
                <w:szCs w:val="24"/>
              </w:rPr>
              <w:t>Herceptin</w:t>
            </w:r>
            <w:r w:rsidRPr="00AF2C5E">
              <w:rPr>
                <w:rFonts w:cs="Arial"/>
                <w:b/>
                <w:szCs w:val="24"/>
                <w:vertAlign w:val="superscript"/>
              </w:rPr>
              <w:t>1</w:t>
            </w:r>
          </w:p>
        </w:tc>
      </w:tr>
      <w:tr w:rsidR="00AF2C5E" w:rsidRPr="00AF2C5E" w14:paraId="0CDFAE43" w14:textId="77777777">
        <w:trPr>
          <w:cantSplit/>
        </w:trPr>
        <w:tc>
          <w:tcPr>
            <w:tcW w:w="2431" w:type="dxa"/>
            <w:tcBorders>
              <w:top w:val="nil"/>
            </w:tcBorders>
          </w:tcPr>
          <w:p w14:paraId="79BF4FAC" w14:textId="77777777" w:rsidR="00AF2C5E" w:rsidRPr="00AF2C5E" w:rsidRDefault="00AF2C5E">
            <w:pPr>
              <w:pStyle w:val="T1"/>
              <w:keepNext/>
              <w:rPr>
                <w:rFonts w:cs="Arial"/>
                <w:b/>
                <w:szCs w:val="24"/>
              </w:rPr>
            </w:pPr>
          </w:p>
        </w:tc>
        <w:tc>
          <w:tcPr>
            <w:tcW w:w="1296" w:type="dxa"/>
            <w:tcBorders>
              <w:top w:val="nil"/>
            </w:tcBorders>
          </w:tcPr>
          <w:p w14:paraId="3B60715F" w14:textId="77777777" w:rsidR="00AF2C5E" w:rsidRPr="00AF2C5E" w:rsidRDefault="00AF2C5E">
            <w:pPr>
              <w:pStyle w:val="T1"/>
              <w:keepNext/>
              <w:jc w:val="center"/>
              <w:rPr>
                <w:rFonts w:cs="Arial"/>
                <w:b/>
                <w:szCs w:val="24"/>
              </w:rPr>
            </w:pPr>
            <w:r w:rsidRPr="00AF2C5E">
              <w:rPr>
                <w:rFonts w:cs="Arial"/>
                <w:b/>
                <w:szCs w:val="24"/>
              </w:rPr>
              <w:t>n=68</w:t>
            </w:r>
          </w:p>
        </w:tc>
        <w:tc>
          <w:tcPr>
            <w:tcW w:w="1296" w:type="dxa"/>
            <w:tcBorders>
              <w:top w:val="nil"/>
            </w:tcBorders>
          </w:tcPr>
          <w:p w14:paraId="7DEA14F6" w14:textId="77777777" w:rsidR="00AF2C5E" w:rsidRPr="00AF2C5E" w:rsidRDefault="00AF2C5E">
            <w:pPr>
              <w:pStyle w:val="T1"/>
              <w:keepNext/>
              <w:jc w:val="center"/>
              <w:rPr>
                <w:rFonts w:cs="Arial"/>
                <w:b/>
                <w:szCs w:val="24"/>
              </w:rPr>
            </w:pPr>
            <w:r w:rsidRPr="00AF2C5E">
              <w:rPr>
                <w:rFonts w:cs="Arial"/>
                <w:b/>
                <w:szCs w:val="24"/>
              </w:rPr>
              <w:t>n=77</w:t>
            </w:r>
          </w:p>
        </w:tc>
        <w:tc>
          <w:tcPr>
            <w:tcW w:w="1296" w:type="dxa"/>
            <w:tcBorders>
              <w:top w:val="nil"/>
            </w:tcBorders>
          </w:tcPr>
          <w:p w14:paraId="18331E33" w14:textId="77777777" w:rsidR="00AF2C5E" w:rsidRPr="00AF2C5E" w:rsidRDefault="00AF2C5E">
            <w:pPr>
              <w:pStyle w:val="T1"/>
              <w:keepNext/>
              <w:jc w:val="center"/>
              <w:rPr>
                <w:rFonts w:cs="Arial"/>
                <w:b/>
                <w:szCs w:val="24"/>
              </w:rPr>
            </w:pPr>
            <w:r w:rsidRPr="00AF2C5E">
              <w:rPr>
                <w:rFonts w:cs="Arial"/>
                <w:b/>
                <w:szCs w:val="24"/>
              </w:rPr>
              <w:t>n=92</w:t>
            </w:r>
          </w:p>
        </w:tc>
        <w:tc>
          <w:tcPr>
            <w:tcW w:w="1296" w:type="dxa"/>
            <w:tcBorders>
              <w:top w:val="nil"/>
            </w:tcBorders>
          </w:tcPr>
          <w:p w14:paraId="7C1A55AD" w14:textId="77777777" w:rsidR="00AF2C5E" w:rsidRPr="00AF2C5E" w:rsidRDefault="00AF2C5E">
            <w:pPr>
              <w:pStyle w:val="T1"/>
              <w:keepNext/>
              <w:jc w:val="center"/>
              <w:rPr>
                <w:rFonts w:cs="Arial"/>
                <w:b/>
                <w:szCs w:val="24"/>
              </w:rPr>
            </w:pPr>
            <w:r w:rsidRPr="00AF2C5E">
              <w:rPr>
                <w:rFonts w:cs="Arial"/>
                <w:b/>
                <w:szCs w:val="24"/>
              </w:rPr>
              <w:t>n=94</w:t>
            </w:r>
          </w:p>
        </w:tc>
        <w:tc>
          <w:tcPr>
            <w:tcW w:w="1440" w:type="dxa"/>
            <w:tcBorders>
              <w:top w:val="nil"/>
            </w:tcBorders>
          </w:tcPr>
          <w:p w14:paraId="1955D52C" w14:textId="77777777" w:rsidR="00AF2C5E" w:rsidRPr="00AF2C5E" w:rsidRDefault="00AF2C5E">
            <w:pPr>
              <w:pStyle w:val="T1"/>
              <w:keepNext/>
              <w:jc w:val="center"/>
              <w:rPr>
                <w:rFonts w:cs="Arial"/>
                <w:b/>
                <w:szCs w:val="24"/>
              </w:rPr>
            </w:pPr>
            <w:r w:rsidRPr="00AF2C5E">
              <w:rPr>
                <w:rFonts w:cs="Arial"/>
                <w:b/>
                <w:szCs w:val="24"/>
              </w:rPr>
              <w:t>n=172</w:t>
            </w:r>
          </w:p>
        </w:tc>
      </w:tr>
      <w:tr w:rsidR="00AF2C5E" w:rsidRPr="00AF2C5E" w14:paraId="1F9ACAC3" w14:textId="77777777">
        <w:trPr>
          <w:cantSplit/>
        </w:trPr>
        <w:tc>
          <w:tcPr>
            <w:tcW w:w="2431" w:type="dxa"/>
            <w:tcBorders>
              <w:bottom w:val="nil"/>
            </w:tcBorders>
          </w:tcPr>
          <w:p w14:paraId="7C2CF96F" w14:textId="77777777" w:rsidR="00AF2C5E" w:rsidRPr="00AF2C5E" w:rsidRDefault="00AF2C5E">
            <w:pPr>
              <w:pStyle w:val="T1a"/>
              <w:keepNext/>
              <w:rPr>
                <w:szCs w:val="24"/>
                <w:lang w:bidi="he-IL"/>
              </w:rPr>
            </w:pPr>
            <w:r w:rsidRPr="00AF2C5E">
              <w:rPr>
                <w:b/>
                <w:noProof/>
                <w:szCs w:val="24"/>
                <w:lang w:bidi="he-IL"/>
              </w:rPr>
              <w:t>Median duration of response</w:t>
            </w:r>
            <w:r w:rsidRPr="00AF2C5E">
              <w:rPr>
                <w:noProof/>
                <w:szCs w:val="24"/>
                <w:lang w:bidi="he-IL"/>
              </w:rPr>
              <w:t xml:space="preserve"> (months)</w:t>
            </w:r>
          </w:p>
        </w:tc>
        <w:tc>
          <w:tcPr>
            <w:tcW w:w="1296" w:type="dxa"/>
            <w:tcBorders>
              <w:bottom w:val="nil"/>
            </w:tcBorders>
          </w:tcPr>
          <w:p w14:paraId="646A00E5" w14:textId="77777777" w:rsidR="00AF2C5E" w:rsidRPr="00AF2C5E" w:rsidRDefault="00AF2C5E">
            <w:pPr>
              <w:pStyle w:val="T1a"/>
              <w:keepNext/>
              <w:jc w:val="center"/>
              <w:rPr>
                <w:szCs w:val="24"/>
                <w:lang w:bidi="he-IL"/>
              </w:rPr>
            </w:pPr>
            <w:r w:rsidRPr="00AF2C5E">
              <w:rPr>
                <w:szCs w:val="24"/>
                <w:lang w:bidi="he-IL"/>
              </w:rPr>
              <w:t>8.3</w:t>
            </w:r>
          </w:p>
        </w:tc>
        <w:tc>
          <w:tcPr>
            <w:tcW w:w="1296" w:type="dxa"/>
            <w:tcBorders>
              <w:bottom w:val="nil"/>
            </w:tcBorders>
          </w:tcPr>
          <w:p w14:paraId="51B14ED8" w14:textId="77777777" w:rsidR="00AF2C5E" w:rsidRPr="00AF2C5E" w:rsidRDefault="00AF2C5E">
            <w:pPr>
              <w:pStyle w:val="T1a"/>
              <w:keepNext/>
              <w:jc w:val="center"/>
              <w:rPr>
                <w:szCs w:val="24"/>
                <w:lang w:bidi="he-IL"/>
              </w:rPr>
            </w:pPr>
            <w:r w:rsidRPr="00AF2C5E">
              <w:rPr>
                <w:szCs w:val="24"/>
                <w:lang w:bidi="he-IL"/>
              </w:rPr>
              <w:t>4.6</w:t>
            </w:r>
          </w:p>
        </w:tc>
        <w:tc>
          <w:tcPr>
            <w:tcW w:w="1296" w:type="dxa"/>
            <w:tcBorders>
              <w:bottom w:val="nil"/>
            </w:tcBorders>
          </w:tcPr>
          <w:p w14:paraId="1A2AA5C3" w14:textId="77777777" w:rsidR="00AF2C5E" w:rsidRPr="00AF2C5E" w:rsidRDefault="00AF2C5E">
            <w:pPr>
              <w:pStyle w:val="T1a"/>
              <w:keepNext/>
              <w:jc w:val="center"/>
              <w:rPr>
                <w:szCs w:val="24"/>
                <w:lang w:bidi="he-IL"/>
              </w:rPr>
            </w:pPr>
            <w:r w:rsidRPr="00AF2C5E">
              <w:rPr>
                <w:szCs w:val="24"/>
                <w:lang w:bidi="he-IL"/>
              </w:rPr>
              <w:t>11.7</w:t>
            </w:r>
          </w:p>
        </w:tc>
        <w:tc>
          <w:tcPr>
            <w:tcW w:w="1296" w:type="dxa"/>
            <w:tcBorders>
              <w:bottom w:val="nil"/>
            </w:tcBorders>
          </w:tcPr>
          <w:p w14:paraId="7125F5E4" w14:textId="77777777" w:rsidR="00AF2C5E" w:rsidRPr="00AF2C5E" w:rsidRDefault="00AF2C5E">
            <w:pPr>
              <w:pStyle w:val="T1a"/>
              <w:keepNext/>
              <w:jc w:val="center"/>
              <w:rPr>
                <w:szCs w:val="24"/>
                <w:lang w:bidi="he-IL"/>
              </w:rPr>
            </w:pPr>
            <w:r w:rsidRPr="00AF2C5E">
              <w:rPr>
                <w:szCs w:val="24"/>
                <w:lang w:bidi="he-IL"/>
              </w:rPr>
              <w:t>5.7</w:t>
            </w:r>
          </w:p>
        </w:tc>
        <w:tc>
          <w:tcPr>
            <w:tcW w:w="1440" w:type="dxa"/>
            <w:tcBorders>
              <w:bottom w:val="nil"/>
            </w:tcBorders>
          </w:tcPr>
          <w:p w14:paraId="585713AD" w14:textId="77777777" w:rsidR="00AF2C5E" w:rsidRPr="00AF2C5E" w:rsidRDefault="00AF2C5E">
            <w:pPr>
              <w:pStyle w:val="T1a"/>
              <w:keepNext/>
              <w:jc w:val="center"/>
              <w:rPr>
                <w:szCs w:val="24"/>
                <w:lang w:bidi="he-IL"/>
              </w:rPr>
            </w:pPr>
            <w:r w:rsidRPr="00AF2C5E">
              <w:rPr>
                <w:szCs w:val="24"/>
                <w:lang w:bidi="he-IL"/>
              </w:rPr>
              <w:t>9.1</w:t>
            </w:r>
          </w:p>
        </w:tc>
      </w:tr>
      <w:tr w:rsidR="00AF2C5E" w:rsidRPr="00AF2C5E" w14:paraId="1832E14B" w14:textId="77777777">
        <w:trPr>
          <w:cantSplit/>
        </w:trPr>
        <w:tc>
          <w:tcPr>
            <w:tcW w:w="2431" w:type="dxa"/>
            <w:tcBorders>
              <w:top w:val="nil"/>
            </w:tcBorders>
          </w:tcPr>
          <w:p w14:paraId="1061586F" w14:textId="77777777" w:rsidR="00AF2C5E" w:rsidRPr="00AF2C5E" w:rsidRDefault="00AF2C5E">
            <w:pPr>
              <w:pStyle w:val="T1b"/>
              <w:keepNext/>
              <w:rPr>
                <w:szCs w:val="24"/>
                <w:lang w:bidi="he-IL"/>
              </w:rPr>
            </w:pPr>
            <w:r w:rsidRPr="00AF2C5E">
              <w:rPr>
                <w:noProof/>
                <w:szCs w:val="24"/>
                <w:lang w:bidi="he-IL"/>
              </w:rPr>
              <w:t>(95% confidence interval)</w:t>
            </w:r>
          </w:p>
        </w:tc>
        <w:tc>
          <w:tcPr>
            <w:tcW w:w="1296" w:type="dxa"/>
            <w:tcBorders>
              <w:top w:val="nil"/>
            </w:tcBorders>
          </w:tcPr>
          <w:p w14:paraId="018A59A5" w14:textId="77777777" w:rsidR="00AF2C5E" w:rsidRPr="00AF2C5E" w:rsidRDefault="00AF2C5E">
            <w:pPr>
              <w:pStyle w:val="T1b"/>
              <w:keepNext/>
              <w:jc w:val="center"/>
              <w:rPr>
                <w:szCs w:val="24"/>
                <w:lang w:bidi="he-IL"/>
              </w:rPr>
            </w:pPr>
            <w:r w:rsidRPr="00AF2C5E">
              <w:rPr>
                <w:szCs w:val="24"/>
                <w:lang w:bidi="he-IL"/>
              </w:rPr>
              <w:t>(7.3-8.8)</w:t>
            </w:r>
          </w:p>
        </w:tc>
        <w:tc>
          <w:tcPr>
            <w:tcW w:w="1296" w:type="dxa"/>
            <w:tcBorders>
              <w:top w:val="nil"/>
            </w:tcBorders>
          </w:tcPr>
          <w:p w14:paraId="339DAEB6" w14:textId="77777777" w:rsidR="00AF2C5E" w:rsidRPr="00AF2C5E" w:rsidRDefault="00AF2C5E">
            <w:pPr>
              <w:pStyle w:val="T1b"/>
              <w:keepNext/>
              <w:jc w:val="center"/>
              <w:rPr>
                <w:szCs w:val="24"/>
                <w:lang w:bidi="he-IL"/>
              </w:rPr>
            </w:pPr>
            <w:r w:rsidRPr="00AF2C5E">
              <w:rPr>
                <w:szCs w:val="24"/>
                <w:lang w:bidi="he-IL"/>
              </w:rPr>
              <w:t>(3.7-7.4)</w:t>
            </w:r>
          </w:p>
        </w:tc>
        <w:tc>
          <w:tcPr>
            <w:tcW w:w="1296" w:type="dxa"/>
            <w:tcBorders>
              <w:top w:val="nil"/>
            </w:tcBorders>
          </w:tcPr>
          <w:p w14:paraId="4344568F" w14:textId="77777777" w:rsidR="00AF2C5E" w:rsidRPr="00AF2C5E" w:rsidRDefault="00AF2C5E">
            <w:pPr>
              <w:pStyle w:val="T1b"/>
              <w:keepNext/>
              <w:jc w:val="center"/>
              <w:rPr>
                <w:szCs w:val="24"/>
                <w:lang w:bidi="he-IL"/>
              </w:rPr>
            </w:pPr>
            <w:r w:rsidRPr="00AF2C5E">
              <w:rPr>
                <w:szCs w:val="24"/>
                <w:lang w:bidi="he-IL"/>
              </w:rPr>
              <w:t>(9.3-15.0)</w:t>
            </w:r>
          </w:p>
        </w:tc>
        <w:tc>
          <w:tcPr>
            <w:tcW w:w="1296" w:type="dxa"/>
            <w:tcBorders>
              <w:top w:val="nil"/>
            </w:tcBorders>
          </w:tcPr>
          <w:p w14:paraId="2FB97425" w14:textId="77777777" w:rsidR="00AF2C5E" w:rsidRPr="00AF2C5E" w:rsidRDefault="00AF2C5E">
            <w:pPr>
              <w:pStyle w:val="T1b"/>
              <w:keepNext/>
              <w:jc w:val="center"/>
              <w:rPr>
                <w:szCs w:val="24"/>
                <w:lang w:bidi="he-IL"/>
              </w:rPr>
            </w:pPr>
            <w:r w:rsidRPr="00AF2C5E">
              <w:rPr>
                <w:szCs w:val="24"/>
                <w:lang w:bidi="he-IL"/>
              </w:rPr>
              <w:t>(4.6-7.6)</w:t>
            </w:r>
          </w:p>
        </w:tc>
        <w:tc>
          <w:tcPr>
            <w:tcW w:w="1440" w:type="dxa"/>
            <w:tcBorders>
              <w:top w:val="nil"/>
            </w:tcBorders>
          </w:tcPr>
          <w:p w14:paraId="78A97678" w14:textId="77777777" w:rsidR="00AF2C5E" w:rsidRPr="00AF2C5E" w:rsidRDefault="00AF2C5E">
            <w:pPr>
              <w:pStyle w:val="T1b"/>
              <w:keepNext/>
              <w:jc w:val="center"/>
              <w:rPr>
                <w:szCs w:val="24"/>
                <w:lang w:bidi="he-IL"/>
              </w:rPr>
            </w:pPr>
            <w:r w:rsidRPr="00AF2C5E">
              <w:rPr>
                <w:szCs w:val="24"/>
                <w:lang w:bidi="he-IL"/>
              </w:rPr>
              <w:t>(5.6-10.3)</w:t>
            </w:r>
          </w:p>
        </w:tc>
      </w:tr>
      <w:tr w:rsidR="00AF2C5E" w:rsidRPr="00AF2C5E" w14:paraId="77144A8B" w14:textId="77777777">
        <w:trPr>
          <w:cantSplit/>
        </w:trPr>
        <w:tc>
          <w:tcPr>
            <w:tcW w:w="2431" w:type="dxa"/>
            <w:tcBorders>
              <w:bottom w:val="nil"/>
            </w:tcBorders>
          </w:tcPr>
          <w:p w14:paraId="72F9ABEC" w14:textId="77777777" w:rsidR="00AF2C5E" w:rsidRPr="00AF2C5E" w:rsidRDefault="00AF2C5E">
            <w:pPr>
              <w:pStyle w:val="T1a"/>
              <w:keepNext/>
              <w:rPr>
                <w:szCs w:val="24"/>
                <w:lang w:bidi="he-IL"/>
              </w:rPr>
            </w:pPr>
            <w:r w:rsidRPr="00AF2C5E">
              <w:rPr>
                <w:b/>
                <w:noProof/>
                <w:szCs w:val="24"/>
                <w:lang w:bidi="he-IL"/>
              </w:rPr>
              <w:t xml:space="preserve">Median TTP </w:t>
            </w:r>
            <w:r w:rsidRPr="00AF2C5E">
              <w:rPr>
                <w:noProof/>
                <w:szCs w:val="24"/>
                <w:lang w:bidi="he-IL"/>
              </w:rPr>
              <w:t>(months)</w:t>
            </w:r>
          </w:p>
        </w:tc>
        <w:tc>
          <w:tcPr>
            <w:tcW w:w="1296" w:type="dxa"/>
            <w:tcBorders>
              <w:bottom w:val="nil"/>
            </w:tcBorders>
          </w:tcPr>
          <w:p w14:paraId="6F4566FB" w14:textId="77777777" w:rsidR="00AF2C5E" w:rsidRPr="00AF2C5E" w:rsidRDefault="00AF2C5E">
            <w:pPr>
              <w:pStyle w:val="T1a"/>
              <w:keepNext/>
              <w:jc w:val="center"/>
              <w:rPr>
                <w:szCs w:val="24"/>
                <w:lang w:bidi="he-IL"/>
              </w:rPr>
            </w:pPr>
            <w:r w:rsidRPr="00AF2C5E">
              <w:rPr>
                <w:szCs w:val="24"/>
                <w:lang w:bidi="he-IL"/>
              </w:rPr>
              <w:t>7.1</w:t>
            </w:r>
          </w:p>
        </w:tc>
        <w:tc>
          <w:tcPr>
            <w:tcW w:w="1296" w:type="dxa"/>
            <w:tcBorders>
              <w:bottom w:val="nil"/>
            </w:tcBorders>
          </w:tcPr>
          <w:p w14:paraId="548C9AE7" w14:textId="77777777" w:rsidR="00AF2C5E" w:rsidRPr="00AF2C5E" w:rsidRDefault="00AF2C5E">
            <w:pPr>
              <w:pStyle w:val="T1a"/>
              <w:keepNext/>
              <w:jc w:val="center"/>
              <w:rPr>
                <w:szCs w:val="24"/>
                <w:lang w:bidi="he-IL"/>
              </w:rPr>
            </w:pPr>
            <w:r w:rsidRPr="00AF2C5E">
              <w:rPr>
                <w:szCs w:val="24"/>
                <w:lang w:bidi="he-IL"/>
              </w:rPr>
              <w:t>3.0</w:t>
            </w:r>
          </w:p>
        </w:tc>
        <w:tc>
          <w:tcPr>
            <w:tcW w:w="1296" w:type="dxa"/>
            <w:tcBorders>
              <w:bottom w:val="nil"/>
            </w:tcBorders>
          </w:tcPr>
          <w:p w14:paraId="311F632A" w14:textId="77777777" w:rsidR="00AF2C5E" w:rsidRPr="00AF2C5E" w:rsidRDefault="00AF2C5E">
            <w:pPr>
              <w:pStyle w:val="T1a"/>
              <w:keepNext/>
              <w:jc w:val="center"/>
              <w:rPr>
                <w:szCs w:val="24"/>
                <w:lang w:bidi="he-IL"/>
              </w:rPr>
            </w:pPr>
            <w:r w:rsidRPr="00AF2C5E">
              <w:rPr>
                <w:szCs w:val="24"/>
                <w:lang w:bidi="he-IL"/>
              </w:rPr>
              <w:t>11.7</w:t>
            </w:r>
          </w:p>
        </w:tc>
        <w:tc>
          <w:tcPr>
            <w:tcW w:w="1296" w:type="dxa"/>
            <w:tcBorders>
              <w:bottom w:val="nil"/>
            </w:tcBorders>
          </w:tcPr>
          <w:p w14:paraId="1C2C1488" w14:textId="77777777" w:rsidR="00AF2C5E" w:rsidRPr="00AF2C5E" w:rsidRDefault="00AF2C5E">
            <w:pPr>
              <w:pStyle w:val="T1a"/>
              <w:keepNext/>
              <w:jc w:val="center"/>
              <w:rPr>
                <w:szCs w:val="24"/>
                <w:lang w:bidi="he-IL"/>
              </w:rPr>
            </w:pPr>
            <w:r w:rsidRPr="00AF2C5E">
              <w:rPr>
                <w:szCs w:val="24"/>
                <w:lang w:bidi="he-IL"/>
              </w:rPr>
              <w:t>6.1</w:t>
            </w:r>
          </w:p>
        </w:tc>
        <w:tc>
          <w:tcPr>
            <w:tcW w:w="1440" w:type="dxa"/>
            <w:tcBorders>
              <w:bottom w:val="nil"/>
            </w:tcBorders>
          </w:tcPr>
          <w:p w14:paraId="621C69D0" w14:textId="77777777" w:rsidR="00AF2C5E" w:rsidRPr="00AF2C5E" w:rsidRDefault="00AF2C5E">
            <w:pPr>
              <w:pStyle w:val="T1a"/>
              <w:keepNext/>
              <w:jc w:val="center"/>
              <w:rPr>
                <w:szCs w:val="24"/>
                <w:lang w:bidi="he-IL"/>
              </w:rPr>
            </w:pPr>
            <w:r w:rsidRPr="00AF2C5E">
              <w:rPr>
                <w:szCs w:val="24"/>
                <w:lang w:bidi="he-IL"/>
              </w:rPr>
              <w:t>3.2</w:t>
            </w:r>
          </w:p>
        </w:tc>
      </w:tr>
      <w:tr w:rsidR="00AF2C5E" w:rsidRPr="00AF2C5E" w14:paraId="1BD87BC6" w14:textId="77777777">
        <w:trPr>
          <w:cantSplit/>
        </w:trPr>
        <w:tc>
          <w:tcPr>
            <w:tcW w:w="2431" w:type="dxa"/>
            <w:tcBorders>
              <w:top w:val="nil"/>
            </w:tcBorders>
          </w:tcPr>
          <w:p w14:paraId="607CAB9B" w14:textId="77777777" w:rsidR="00AF2C5E" w:rsidRPr="00AF2C5E" w:rsidRDefault="00AF2C5E">
            <w:pPr>
              <w:pStyle w:val="T1b"/>
              <w:keepNext/>
              <w:rPr>
                <w:szCs w:val="24"/>
                <w:lang w:bidi="he-IL"/>
              </w:rPr>
            </w:pPr>
            <w:r w:rsidRPr="00AF2C5E">
              <w:rPr>
                <w:noProof/>
                <w:szCs w:val="24"/>
                <w:lang w:bidi="he-IL"/>
              </w:rPr>
              <w:t>(95% confidence interval)</w:t>
            </w:r>
          </w:p>
        </w:tc>
        <w:tc>
          <w:tcPr>
            <w:tcW w:w="1296" w:type="dxa"/>
            <w:tcBorders>
              <w:top w:val="nil"/>
            </w:tcBorders>
          </w:tcPr>
          <w:p w14:paraId="29D055EB" w14:textId="77777777" w:rsidR="00AF2C5E" w:rsidRPr="00AF2C5E" w:rsidRDefault="00AF2C5E">
            <w:pPr>
              <w:pStyle w:val="T1b"/>
              <w:keepNext/>
              <w:jc w:val="center"/>
              <w:rPr>
                <w:szCs w:val="24"/>
                <w:lang w:bidi="he-IL"/>
              </w:rPr>
            </w:pPr>
            <w:r w:rsidRPr="00AF2C5E">
              <w:rPr>
                <w:szCs w:val="24"/>
                <w:lang w:bidi="he-IL"/>
              </w:rPr>
              <w:t>(6.2-12.0)</w:t>
            </w:r>
          </w:p>
        </w:tc>
        <w:tc>
          <w:tcPr>
            <w:tcW w:w="1296" w:type="dxa"/>
            <w:tcBorders>
              <w:top w:val="nil"/>
            </w:tcBorders>
          </w:tcPr>
          <w:p w14:paraId="387CCE78" w14:textId="77777777" w:rsidR="00AF2C5E" w:rsidRPr="00AF2C5E" w:rsidRDefault="00AF2C5E">
            <w:pPr>
              <w:pStyle w:val="T1b"/>
              <w:keepNext/>
              <w:jc w:val="center"/>
              <w:rPr>
                <w:szCs w:val="24"/>
                <w:lang w:bidi="he-IL"/>
              </w:rPr>
            </w:pPr>
            <w:r w:rsidRPr="00AF2C5E">
              <w:rPr>
                <w:szCs w:val="24"/>
                <w:lang w:bidi="he-IL"/>
              </w:rPr>
              <w:t>(2.0-4.4)</w:t>
            </w:r>
          </w:p>
        </w:tc>
        <w:tc>
          <w:tcPr>
            <w:tcW w:w="1296" w:type="dxa"/>
            <w:tcBorders>
              <w:top w:val="nil"/>
            </w:tcBorders>
          </w:tcPr>
          <w:p w14:paraId="2709B0FB" w14:textId="77777777" w:rsidR="00AF2C5E" w:rsidRPr="00AF2C5E" w:rsidRDefault="00AF2C5E">
            <w:pPr>
              <w:pStyle w:val="T1b"/>
              <w:keepNext/>
              <w:jc w:val="center"/>
              <w:rPr>
                <w:szCs w:val="24"/>
                <w:lang w:bidi="he-IL"/>
              </w:rPr>
            </w:pPr>
            <w:r w:rsidRPr="00AF2C5E">
              <w:rPr>
                <w:szCs w:val="24"/>
                <w:lang w:bidi="he-IL"/>
              </w:rPr>
              <w:t>(9.2-13.5)</w:t>
            </w:r>
          </w:p>
        </w:tc>
        <w:tc>
          <w:tcPr>
            <w:tcW w:w="1296" w:type="dxa"/>
            <w:tcBorders>
              <w:top w:val="nil"/>
            </w:tcBorders>
          </w:tcPr>
          <w:p w14:paraId="39D7496D" w14:textId="77777777" w:rsidR="00AF2C5E" w:rsidRPr="00AF2C5E" w:rsidRDefault="00AF2C5E">
            <w:pPr>
              <w:pStyle w:val="T1b"/>
              <w:keepNext/>
              <w:jc w:val="center"/>
              <w:rPr>
                <w:szCs w:val="24"/>
                <w:lang w:bidi="he-IL"/>
              </w:rPr>
            </w:pPr>
            <w:r w:rsidRPr="00AF2C5E">
              <w:rPr>
                <w:szCs w:val="24"/>
                <w:lang w:bidi="he-IL"/>
              </w:rPr>
              <w:t>(5.4-7.2)</w:t>
            </w:r>
          </w:p>
        </w:tc>
        <w:tc>
          <w:tcPr>
            <w:tcW w:w="1440" w:type="dxa"/>
            <w:tcBorders>
              <w:top w:val="nil"/>
            </w:tcBorders>
          </w:tcPr>
          <w:p w14:paraId="1328B5F0" w14:textId="77777777" w:rsidR="00AF2C5E" w:rsidRPr="00AF2C5E" w:rsidRDefault="00AF2C5E">
            <w:pPr>
              <w:pStyle w:val="T1b"/>
              <w:keepNext/>
              <w:jc w:val="center"/>
              <w:rPr>
                <w:szCs w:val="24"/>
                <w:lang w:bidi="he-IL"/>
              </w:rPr>
            </w:pPr>
            <w:r w:rsidRPr="00AF2C5E">
              <w:rPr>
                <w:szCs w:val="24"/>
                <w:lang w:bidi="he-IL"/>
              </w:rPr>
              <w:t>(2.6-3.5)</w:t>
            </w:r>
          </w:p>
        </w:tc>
      </w:tr>
      <w:tr w:rsidR="00AF2C5E" w:rsidRPr="00AF2C5E" w14:paraId="61A18699" w14:textId="77777777">
        <w:trPr>
          <w:cantSplit/>
        </w:trPr>
        <w:tc>
          <w:tcPr>
            <w:tcW w:w="2431" w:type="dxa"/>
            <w:tcBorders>
              <w:bottom w:val="nil"/>
            </w:tcBorders>
          </w:tcPr>
          <w:p w14:paraId="5B112EA0" w14:textId="77777777" w:rsidR="00AF2C5E" w:rsidRPr="00AF2C5E" w:rsidRDefault="00AF2C5E">
            <w:pPr>
              <w:rPr>
                <w:rFonts w:ascii="Times New Roman" w:hAnsi="Times New Roman"/>
              </w:rPr>
            </w:pPr>
            <w:r w:rsidRPr="00AF2C5E">
              <w:rPr>
                <w:rFonts w:ascii="Times New Roman" w:hAnsi="Times New Roman" w:cs="Arial"/>
                <w:b/>
                <w:noProof/>
                <w:szCs w:val="24"/>
                <w:lang w:bidi="he-IL"/>
              </w:rPr>
              <w:t>Median survival</w:t>
            </w:r>
            <w:r w:rsidRPr="00AF2C5E">
              <w:rPr>
                <w:rFonts w:ascii="Times New Roman" w:hAnsi="Times New Roman" w:cs="Arial"/>
                <w:noProof/>
                <w:szCs w:val="24"/>
                <w:lang w:bidi="he-IL"/>
              </w:rPr>
              <w:t xml:space="preserve"> </w:t>
            </w:r>
            <w:r w:rsidRPr="00AF2C5E">
              <w:rPr>
                <w:rFonts w:ascii="Times New Roman" w:hAnsi="Times New Roman" w:cs="Arial"/>
                <w:b/>
                <w:noProof/>
                <w:szCs w:val="24"/>
                <w:lang w:bidi="he-IL"/>
              </w:rPr>
              <w:t xml:space="preserve"> </w:t>
            </w:r>
            <w:r w:rsidRPr="00AF2C5E">
              <w:rPr>
                <w:rFonts w:ascii="Times New Roman" w:hAnsi="Times New Roman" w:cs="Arial"/>
                <w:noProof/>
                <w:szCs w:val="24"/>
                <w:lang w:bidi="he-IL"/>
              </w:rPr>
              <w:t>(months)</w:t>
            </w:r>
          </w:p>
        </w:tc>
        <w:tc>
          <w:tcPr>
            <w:tcW w:w="1296" w:type="dxa"/>
            <w:tcBorders>
              <w:bottom w:val="nil"/>
            </w:tcBorders>
          </w:tcPr>
          <w:p w14:paraId="3D3685D8" w14:textId="77777777" w:rsidR="00AF2C5E" w:rsidRPr="00AF2C5E" w:rsidRDefault="00AF2C5E">
            <w:pPr>
              <w:pStyle w:val="T1a"/>
              <w:keepNext/>
              <w:jc w:val="center"/>
              <w:rPr>
                <w:szCs w:val="24"/>
                <w:lang w:bidi="he-IL"/>
              </w:rPr>
            </w:pPr>
            <w:r w:rsidRPr="00AF2C5E">
              <w:rPr>
                <w:szCs w:val="24"/>
                <w:lang w:bidi="he-IL"/>
              </w:rPr>
              <w:t>24.8</w:t>
            </w:r>
          </w:p>
        </w:tc>
        <w:tc>
          <w:tcPr>
            <w:tcW w:w="1296" w:type="dxa"/>
            <w:tcBorders>
              <w:bottom w:val="nil"/>
            </w:tcBorders>
          </w:tcPr>
          <w:p w14:paraId="6FB98183" w14:textId="77777777" w:rsidR="00AF2C5E" w:rsidRPr="00AF2C5E" w:rsidRDefault="00AF2C5E">
            <w:pPr>
              <w:pStyle w:val="T1a"/>
              <w:keepNext/>
              <w:jc w:val="center"/>
              <w:rPr>
                <w:szCs w:val="24"/>
                <w:lang w:bidi="he-IL"/>
              </w:rPr>
            </w:pPr>
            <w:r w:rsidRPr="00AF2C5E">
              <w:rPr>
                <w:szCs w:val="24"/>
                <w:lang w:bidi="he-IL"/>
              </w:rPr>
              <w:t>17.9</w:t>
            </w:r>
          </w:p>
        </w:tc>
        <w:tc>
          <w:tcPr>
            <w:tcW w:w="1296" w:type="dxa"/>
            <w:tcBorders>
              <w:bottom w:val="nil"/>
            </w:tcBorders>
          </w:tcPr>
          <w:p w14:paraId="3AAA7AD2" w14:textId="77777777" w:rsidR="00AF2C5E" w:rsidRPr="00AF2C5E" w:rsidRDefault="00AF2C5E">
            <w:pPr>
              <w:pStyle w:val="T1a"/>
              <w:keepNext/>
              <w:jc w:val="center"/>
              <w:rPr>
                <w:szCs w:val="24"/>
                <w:lang w:bidi="he-IL"/>
              </w:rPr>
            </w:pPr>
            <w:r w:rsidRPr="00AF2C5E">
              <w:rPr>
                <w:szCs w:val="24"/>
                <w:lang w:bidi="he-IL"/>
              </w:rPr>
              <w:t>31.2</w:t>
            </w:r>
          </w:p>
        </w:tc>
        <w:tc>
          <w:tcPr>
            <w:tcW w:w="1296" w:type="dxa"/>
            <w:tcBorders>
              <w:bottom w:val="nil"/>
            </w:tcBorders>
          </w:tcPr>
          <w:p w14:paraId="3936AA6C" w14:textId="77777777" w:rsidR="00AF2C5E" w:rsidRPr="00AF2C5E" w:rsidRDefault="00AF2C5E">
            <w:pPr>
              <w:pStyle w:val="T1a"/>
              <w:keepNext/>
              <w:jc w:val="center"/>
              <w:rPr>
                <w:szCs w:val="24"/>
                <w:lang w:bidi="he-IL"/>
              </w:rPr>
            </w:pPr>
            <w:r w:rsidRPr="00AF2C5E">
              <w:rPr>
                <w:szCs w:val="24"/>
                <w:lang w:bidi="he-IL"/>
              </w:rPr>
              <w:t>22.7</w:t>
            </w:r>
          </w:p>
        </w:tc>
        <w:tc>
          <w:tcPr>
            <w:tcW w:w="1440" w:type="dxa"/>
            <w:tcBorders>
              <w:bottom w:val="nil"/>
            </w:tcBorders>
          </w:tcPr>
          <w:p w14:paraId="0134CCCD" w14:textId="77777777" w:rsidR="00AF2C5E" w:rsidRPr="00AF2C5E" w:rsidRDefault="00AF2C5E">
            <w:pPr>
              <w:pStyle w:val="T1a"/>
              <w:keepNext/>
              <w:jc w:val="center"/>
              <w:rPr>
                <w:szCs w:val="24"/>
                <w:lang w:bidi="he-IL"/>
              </w:rPr>
            </w:pPr>
            <w:r w:rsidRPr="00AF2C5E">
              <w:rPr>
                <w:szCs w:val="24"/>
                <w:lang w:bidi="he-IL"/>
              </w:rPr>
              <w:t>16.4</w:t>
            </w:r>
          </w:p>
        </w:tc>
      </w:tr>
      <w:tr w:rsidR="00AF2C5E" w:rsidRPr="00AF2C5E" w14:paraId="17A82569" w14:textId="77777777">
        <w:trPr>
          <w:cantSplit/>
        </w:trPr>
        <w:tc>
          <w:tcPr>
            <w:tcW w:w="2431" w:type="dxa"/>
            <w:tcBorders>
              <w:top w:val="nil"/>
            </w:tcBorders>
          </w:tcPr>
          <w:p w14:paraId="0CB58948" w14:textId="77777777" w:rsidR="00AF2C5E" w:rsidRPr="00AF2C5E" w:rsidRDefault="00AF2C5E">
            <w:pPr>
              <w:pStyle w:val="T1b"/>
              <w:keepNext/>
              <w:rPr>
                <w:szCs w:val="24"/>
                <w:lang w:bidi="he-IL"/>
              </w:rPr>
            </w:pPr>
            <w:r w:rsidRPr="00AF2C5E">
              <w:rPr>
                <w:noProof/>
                <w:szCs w:val="24"/>
                <w:lang w:bidi="he-IL"/>
              </w:rPr>
              <w:t>(95% confidence interval)</w:t>
            </w:r>
          </w:p>
        </w:tc>
        <w:tc>
          <w:tcPr>
            <w:tcW w:w="1296" w:type="dxa"/>
            <w:tcBorders>
              <w:top w:val="nil"/>
            </w:tcBorders>
          </w:tcPr>
          <w:p w14:paraId="2B604B1A" w14:textId="77777777" w:rsidR="00AF2C5E" w:rsidRPr="00AF2C5E" w:rsidRDefault="00AF2C5E">
            <w:pPr>
              <w:pStyle w:val="T1b"/>
              <w:keepNext/>
              <w:jc w:val="center"/>
              <w:rPr>
                <w:szCs w:val="24"/>
                <w:lang w:bidi="he-IL"/>
              </w:rPr>
            </w:pPr>
            <w:r w:rsidRPr="00AF2C5E">
              <w:rPr>
                <w:szCs w:val="24"/>
                <w:lang w:bidi="he-IL"/>
              </w:rPr>
              <w:t>(18.6-33.7)</w:t>
            </w:r>
          </w:p>
        </w:tc>
        <w:tc>
          <w:tcPr>
            <w:tcW w:w="1296" w:type="dxa"/>
            <w:tcBorders>
              <w:top w:val="nil"/>
            </w:tcBorders>
          </w:tcPr>
          <w:p w14:paraId="282DE3E9" w14:textId="77777777" w:rsidR="00AF2C5E" w:rsidRPr="00AF2C5E" w:rsidRDefault="00AF2C5E">
            <w:pPr>
              <w:pStyle w:val="T1b"/>
              <w:keepNext/>
              <w:jc w:val="center"/>
              <w:rPr>
                <w:szCs w:val="24"/>
                <w:lang w:bidi="he-IL"/>
              </w:rPr>
            </w:pPr>
            <w:r w:rsidRPr="00AF2C5E">
              <w:rPr>
                <w:szCs w:val="24"/>
                <w:lang w:bidi="he-IL"/>
              </w:rPr>
              <w:t>(11.2-23.8)</w:t>
            </w:r>
          </w:p>
        </w:tc>
        <w:tc>
          <w:tcPr>
            <w:tcW w:w="1296" w:type="dxa"/>
            <w:tcBorders>
              <w:top w:val="nil"/>
            </w:tcBorders>
          </w:tcPr>
          <w:p w14:paraId="038D35B8" w14:textId="77777777" w:rsidR="00AF2C5E" w:rsidRPr="00AF2C5E" w:rsidRDefault="00AF2C5E">
            <w:pPr>
              <w:pStyle w:val="T1b"/>
              <w:keepNext/>
              <w:jc w:val="center"/>
              <w:rPr>
                <w:szCs w:val="24"/>
                <w:lang w:bidi="he-IL"/>
              </w:rPr>
            </w:pPr>
            <w:r w:rsidRPr="00AF2C5E">
              <w:rPr>
                <w:szCs w:val="24"/>
                <w:lang w:bidi="he-IL"/>
              </w:rPr>
              <w:t>(27.3-40.8)</w:t>
            </w:r>
          </w:p>
        </w:tc>
        <w:tc>
          <w:tcPr>
            <w:tcW w:w="1296" w:type="dxa"/>
            <w:tcBorders>
              <w:top w:val="nil"/>
            </w:tcBorders>
          </w:tcPr>
          <w:p w14:paraId="5B527FAD" w14:textId="77777777" w:rsidR="00AF2C5E" w:rsidRPr="00AF2C5E" w:rsidRDefault="00AF2C5E">
            <w:pPr>
              <w:pStyle w:val="T1b"/>
              <w:keepNext/>
              <w:jc w:val="center"/>
              <w:rPr>
                <w:szCs w:val="24"/>
                <w:lang w:bidi="he-IL"/>
              </w:rPr>
            </w:pPr>
            <w:r w:rsidRPr="00AF2C5E">
              <w:rPr>
                <w:szCs w:val="24"/>
                <w:lang w:bidi="he-IL"/>
              </w:rPr>
              <w:t>(19.1-30.8)</w:t>
            </w:r>
          </w:p>
        </w:tc>
        <w:tc>
          <w:tcPr>
            <w:tcW w:w="1440" w:type="dxa"/>
            <w:tcBorders>
              <w:top w:val="nil"/>
            </w:tcBorders>
          </w:tcPr>
          <w:p w14:paraId="06F8F3A8" w14:textId="77777777" w:rsidR="00AF2C5E" w:rsidRPr="00AF2C5E" w:rsidRDefault="00AF2C5E">
            <w:pPr>
              <w:pStyle w:val="T1b"/>
              <w:keepNext/>
              <w:jc w:val="center"/>
              <w:rPr>
                <w:szCs w:val="24"/>
                <w:lang w:bidi="he-IL"/>
              </w:rPr>
            </w:pPr>
            <w:r w:rsidRPr="00AF2C5E">
              <w:rPr>
                <w:noProof/>
                <w:szCs w:val="24"/>
                <w:lang w:bidi="he-IL"/>
              </w:rPr>
              <w:t>(12.3-ND)</w:t>
            </w:r>
          </w:p>
        </w:tc>
      </w:tr>
      <w:tr w:rsidR="00AF2C5E" w:rsidRPr="00AF2C5E" w14:paraId="4AA69BA8" w14:textId="77777777">
        <w:trPr>
          <w:cantSplit/>
        </w:trPr>
        <w:tc>
          <w:tcPr>
            <w:tcW w:w="2431" w:type="dxa"/>
            <w:tcBorders>
              <w:bottom w:val="nil"/>
            </w:tcBorders>
          </w:tcPr>
          <w:p w14:paraId="28AFFB85" w14:textId="77777777" w:rsidR="00AF2C5E" w:rsidRPr="00AF2C5E" w:rsidRDefault="00AF2C5E">
            <w:pPr>
              <w:pStyle w:val="T1a"/>
              <w:keepNext/>
              <w:rPr>
                <w:szCs w:val="24"/>
                <w:lang w:bidi="he-IL"/>
              </w:rPr>
            </w:pPr>
            <w:r w:rsidRPr="00AF2C5E">
              <w:rPr>
                <w:b/>
                <w:noProof/>
                <w:szCs w:val="24"/>
                <w:lang w:bidi="he-IL"/>
              </w:rPr>
              <w:t xml:space="preserve">Response rate </w:t>
            </w:r>
            <w:r w:rsidRPr="00AF2C5E">
              <w:rPr>
                <w:noProof/>
                <w:szCs w:val="24"/>
                <w:lang w:bidi="he-IL"/>
              </w:rPr>
              <w:t>(%)</w:t>
            </w:r>
          </w:p>
        </w:tc>
        <w:tc>
          <w:tcPr>
            <w:tcW w:w="1296" w:type="dxa"/>
            <w:tcBorders>
              <w:bottom w:val="nil"/>
            </w:tcBorders>
          </w:tcPr>
          <w:p w14:paraId="0250F702" w14:textId="77777777" w:rsidR="00AF2C5E" w:rsidRPr="00AF2C5E" w:rsidRDefault="00AF2C5E">
            <w:pPr>
              <w:pStyle w:val="T1a"/>
              <w:keepNext/>
              <w:jc w:val="center"/>
              <w:rPr>
                <w:szCs w:val="24"/>
                <w:lang w:bidi="he-IL"/>
              </w:rPr>
            </w:pPr>
            <w:r w:rsidRPr="00AF2C5E">
              <w:rPr>
                <w:szCs w:val="24"/>
                <w:lang w:bidi="he-IL"/>
              </w:rPr>
              <w:t>49%</w:t>
            </w:r>
          </w:p>
        </w:tc>
        <w:tc>
          <w:tcPr>
            <w:tcW w:w="1296" w:type="dxa"/>
            <w:tcBorders>
              <w:bottom w:val="nil"/>
            </w:tcBorders>
          </w:tcPr>
          <w:p w14:paraId="7720CB75" w14:textId="77777777" w:rsidR="00AF2C5E" w:rsidRPr="00AF2C5E" w:rsidRDefault="00AF2C5E">
            <w:pPr>
              <w:pStyle w:val="T1a"/>
              <w:keepNext/>
              <w:jc w:val="center"/>
              <w:rPr>
                <w:szCs w:val="24"/>
                <w:lang w:bidi="he-IL"/>
              </w:rPr>
            </w:pPr>
            <w:r w:rsidRPr="00AF2C5E">
              <w:rPr>
                <w:szCs w:val="24"/>
                <w:lang w:bidi="he-IL"/>
              </w:rPr>
              <w:t>17%</w:t>
            </w:r>
          </w:p>
        </w:tc>
        <w:tc>
          <w:tcPr>
            <w:tcW w:w="1296" w:type="dxa"/>
            <w:tcBorders>
              <w:bottom w:val="nil"/>
            </w:tcBorders>
          </w:tcPr>
          <w:p w14:paraId="402A4F80" w14:textId="77777777" w:rsidR="00AF2C5E" w:rsidRPr="00AF2C5E" w:rsidRDefault="00AF2C5E">
            <w:pPr>
              <w:pStyle w:val="T1a"/>
              <w:keepNext/>
              <w:jc w:val="center"/>
              <w:rPr>
                <w:szCs w:val="24"/>
                <w:lang w:bidi="he-IL"/>
              </w:rPr>
            </w:pPr>
            <w:r w:rsidRPr="00AF2C5E">
              <w:rPr>
                <w:szCs w:val="24"/>
                <w:lang w:bidi="he-IL"/>
              </w:rPr>
              <w:t>61%</w:t>
            </w:r>
          </w:p>
        </w:tc>
        <w:tc>
          <w:tcPr>
            <w:tcW w:w="1296" w:type="dxa"/>
            <w:tcBorders>
              <w:bottom w:val="nil"/>
            </w:tcBorders>
          </w:tcPr>
          <w:p w14:paraId="3238C5FB" w14:textId="77777777" w:rsidR="00AF2C5E" w:rsidRPr="00AF2C5E" w:rsidRDefault="00AF2C5E">
            <w:pPr>
              <w:pStyle w:val="T1a"/>
              <w:keepNext/>
              <w:jc w:val="center"/>
              <w:rPr>
                <w:szCs w:val="24"/>
                <w:lang w:bidi="he-IL"/>
              </w:rPr>
            </w:pPr>
            <w:r w:rsidRPr="00AF2C5E">
              <w:rPr>
                <w:szCs w:val="24"/>
                <w:lang w:bidi="he-IL"/>
              </w:rPr>
              <w:t>34%</w:t>
            </w:r>
          </w:p>
        </w:tc>
        <w:tc>
          <w:tcPr>
            <w:tcW w:w="1440" w:type="dxa"/>
            <w:tcBorders>
              <w:bottom w:val="nil"/>
            </w:tcBorders>
          </w:tcPr>
          <w:p w14:paraId="470FF7EA" w14:textId="77777777" w:rsidR="00AF2C5E" w:rsidRPr="00AF2C5E" w:rsidRDefault="00AF2C5E">
            <w:pPr>
              <w:pStyle w:val="T1a"/>
              <w:keepNext/>
              <w:jc w:val="center"/>
              <w:rPr>
                <w:szCs w:val="24"/>
                <w:lang w:bidi="he-IL"/>
              </w:rPr>
            </w:pPr>
            <w:r w:rsidRPr="00AF2C5E">
              <w:rPr>
                <w:szCs w:val="24"/>
                <w:lang w:bidi="he-IL"/>
              </w:rPr>
              <w:t>18%</w:t>
            </w:r>
          </w:p>
        </w:tc>
      </w:tr>
      <w:tr w:rsidR="00AF2C5E" w:rsidRPr="00AF2C5E" w14:paraId="3A96B909" w14:textId="77777777">
        <w:trPr>
          <w:cantSplit/>
        </w:trPr>
        <w:tc>
          <w:tcPr>
            <w:tcW w:w="2431" w:type="dxa"/>
            <w:tcBorders>
              <w:top w:val="nil"/>
            </w:tcBorders>
          </w:tcPr>
          <w:p w14:paraId="74AE5917" w14:textId="77777777" w:rsidR="00AF2C5E" w:rsidRPr="00AF2C5E" w:rsidRDefault="00AF2C5E">
            <w:pPr>
              <w:pStyle w:val="T1b"/>
              <w:keepNext/>
              <w:rPr>
                <w:szCs w:val="24"/>
                <w:lang w:bidi="he-IL"/>
              </w:rPr>
            </w:pPr>
            <w:r w:rsidRPr="00AF2C5E">
              <w:rPr>
                <w:noProof/>
                <w:szCs w:val="24"/>
                <w:lang w:bidi="he-IL"/>
              </w:rPr>
              <w:t>(95% confidence interval)</w:t>
            </w:r>
          </w:p>
        </w:tc>
        <w:tc>
          <w:tcPr>
            <w:tcW w:w="1296" w:type="dxa"/>
            <w:tcBorders>
              <w:top w:val="nil"/>
            </w:tcBorders>
          </w:tcPr>
          <w:p w14:paraId="5F9CB81F" w14:textId="77777777" w:rsidR="00AF2C5E" w:rsidRPr="00AF2C5E" w:rsidRDefault="00AF2C5E">
            <w:pPr>
              <w:pStyle w:val="T1b"/>
              <w:keepNext/>
              <w:jc w:val="center"/>
              <w:rPr>
                <w:szCs w:val="24"/>
                <w:lang w:bidi="he-IL"/>
              </w:rPr>
            </w:pPr>
            <w:r w:rsidRPr="00AF2C5E">
              <w:rPr>
                <w:szCs w:val="24"/>
                <w:lang w:bidi="he-IL"/>
              </w:rPr>
              <w:t>(36-61)</w:t>
            </w:r>
          </w:p>
        </w:tc>
        <w:tc>
          <w:tcPr>
            <w:tcW w:w="1296" w:type="dxa"/>
            <w:tcBorders>
              <w:top w:val="nil"/>
            </w:tcBorders>
          </w:tcPr>
          <w:p w14:paraId="1A506557" w14:textId="77777777" w:rsidR="00AF2C5E" w:rsidRPr="00AF2C5E" w:rsidRDefault="00AF2C5E">
            <w:pPr>
              <w:pStyle w:val="T1b"/>
              <w:keepNext/>
              <w:jc w:val="center"/>
              <w:rPr>
                <w:szCs w:val="24"/>
                <w:lang w:bidi="he-IL"/>
              </w:rPr>
            </w:pPr>
            <w:r w:rsidRPr="00AF2C5E">
              <w:rPr>
                <w:szCs w:val="24"/>
                <w:lang w:bidi="he-IL"/>
              </w:rPr>
              <w:t>(9-27)</w:t>
            </w:r>
          </w:p>
        </w:tc>
        <w:tc>
          <w:tcPr>
            <w:tcW w:w="1296" w:type="dxa"/>
            <w:tcBorders>
              <w:top w:val="nil"/>
            </w:tcBorders>
          </w:tcPr>
          <w:p w14:paraId="194C798C" w14:textId="77777777" w:rsidR="00AF2C5E" w:rsidRPr="00AF2C5E" w:rsidRDefault="00AF2C5E">
            <w:pPr>
              <w:pStyle w:val="T1b"/>
              <w:keepNext/>
              <w:jc w:val="center"/>
              <w:rPr>
                <w:szCs w:val="24"/>
                <w:lang w:bidi="he-IL"/>
              </w:rPr>
            </w:pPr>
            <w:r w:rsidRPr="00AF2C5E">
              <w:rPr>
                <w:szCs w:val="24"/>
                <w:lang w:bidi="he-IL"/>
              </w:rPr>
              <w:t>(50-71)</w:t>
            </w:r>
          </w:p>
        </w:tc>
        <w:tc>
          <w:tcPr>
            <w:tcW w:w="1296" w:type="dxa"/>
            <w:tcBorders>
              <w:top w:val="nil"/>
            </w:tcBorders>
          </w:tcPr>
          <w:p w14:paraId="25DFB984" w14:textId="77777777" w:rsidR="00AF2C5E" w:rsidRPr="00AF2C5E" w:rsidRDefault="00AF2C5E">
            <w:pPr>
              <w:pStyle w:val="T1b"/>
              <w:keepNext/>
              <w:jc w:val="center"/>
              <w:rPr>
                <w:szCs w:val="24"/>
                <w:lang w:bidi="he-IL"/>
              </w:rPr>
            </w:pPr>
            <w:r w:rsidRPr="00AF2C5E">
              <w:rPr>
                <w:szCs w:val="24"/>
                <w:lang w:bidi="he-IL"/>
              </w:rPr>
              <w:t>(25-45)</w:t>
            </w:r>
          </w:p>
        </w:tc>
        <w:tc>
          <w:tcPr>
            <w:tcW w:w="1440" w:type="dxa"/>
            <w:tcBorders>
              <w:top w:val="nil"/>
            </w:tcBorders>
          </w:tcPr>
          <w:p w14:paraId="12DCC5A3" w14:textId="77777777" w:rsidR="00AF2C5E" w:rsidRPr="00AF2C5E" w:rsidRDefault="00AF2C5E">
            <w:pPr>
              <w:pStyle w:val="T1b"/>
              <w:keepNext/>
              <w:jc w:val="center"/>
              <w:rPr>
                <w:szCs w:val="24"/>
                <w:lang w:bidi="he-IL"/>
              </w:rPr>
            </w:pPr>
            <w:r w:rsidRPr="00AF2C5E">
              <w:rPr>
                <w:szCs w:val="24"/>
                <w:lang w:bidi="he-IL"/>
              </w:rPr>
              <w:t>(13-25)</w:t>
            </w:r>
          </w:p>
        </w:tc>
      </w:tr>
    </w:tbl>
    <w:p w14:paraId="4345584C" w14:textId="77777777" w:rsidR="00AF2C5E" w:rsidRDefault="00AF2C5E">
      <w:pPr>
        <w:pStyle w:val="T1a"/>
        <w:keepNext/>
        <w:keepLines/>
        <w:rPr>
          <w:szCs w:val="24"/>
          <w:lang w:bidi="he-IL"/>
        </w:rPr>
      </w:pPr>
      <w:r>
        <w:rPr>
          <w:noProof/>
          <w:szCs w:val="24"/>
          <w:lang w:bidi="he-IL"/>
        </w:rPr>
        <w:t>TTP = time to progression; ND = not determinable or not yet reached.</w:t>
      </w:r>
    </w:p>
    <w:p w14:paraId="56594721" w14:textId="77777777" w:rsidR="00AF2C5E" w:rsidRDefault="00AF2C5E">
      <w:pPr>
        <w:pStyle w:val="T2"/>
        <w:keepNext/>
        <w:spacing w:before="0" w:after="0"/>
        <w:ind w:left="216" w:hanging="216"/>
        <w:rPr>
          <w:szCs w:val="24"/>
          <w:lang w:bidi="he-IL"/>
        </w:rPr>
      </w:pPr>
      <w:r>
        <w:rPr>
          <w:szCs w:val="24"/>
          <w:vertAlign w:val="superscript"/>
          <w:lang w:bidi="he-IL"/>
        </w:rPr>
        <w:t>1</w:t>
      </w:r>
      <w:r>
        <w:rPr>
          <w:szCs w:val="24"/>
          <w:lang w:bidi="he-IL"/>
        </w:rPr>
        <w:tab/>
      </w:r>
      <w:r>
        <w:rPr>
          <w:noProof/>
          <w:szCs w:val="24"/>
          <w:lang w:bidi="he-IL"/>
        </w:rPr>
        <w:t>IHC3+ patient subgroup</w:t>
      </w:r>
    </w:p>
    <w:p w14:paraId="3A0AAFEE" w14:textId="77777777" w:rsidR="00AF2C5E" w:rsidRDefault="00AF2C5E">
      <w:pPr>
        <w:pStyle w:val="T2"/>
        <w:spacing w:before="0" w:after="0"/>
        <w:ind w:left="216" w:hanging="216"/>
        <w:rPr>
          <w:szCs w:val="24"/>
          <w:lang w:bidi="he-IL"/>
        </w:rPr>
      </w:pPr>
      <w:r>
        <w:rPr>
          <w:szCs w:val="24"/>
          <w:vertAlign w:val="superscript"/>
          <w:lang w:bidi="he-IL"/>
        </w:rPr>
        <w:t>2</w:t>
      </w:r>
      <w:r>
        <w:rPr>
          <w:szCs w:val="24"/>
          <w:lang w:bidi="he-IL"/>
        </w:rPr>
        <w:tab/>
      </w:r>
      <w:r>
        <w:rPr>
          <w:noProof/>
          <w:szCs w:val="24"/>
          <w:lang w:bidi="he-IL"/>
        </w:rPr>
        <w:t>Full analysis population (intention-to-treat)</w:t>
      </w:r>
    </w:p>
    <w:p w14:paraId="470C095D" w14:textId="77777777" w:rsidR="00AF2C5E" w:rsidRDefault="00AF2C5E">
      <w:pPr>
        <w:pStyle w:val="Heading3"/>
        <w:rPr>
          <w:iCs/>
        </w:rPr>
      </w:pPr>
      <w:r>
        <w:rPr>
          <w:iCs/>
        </w:rPr>
        <w:t>Combination treatment with Herceptin and anastrozole:</w:t>
      </w:r>
    </w:p>
    <w:p w14:paraId="33D00EB3" w14:textId="77777777" w:rsidR="00AF2C5E" w:rsidRDefault="00AF2C5E">
      <w:pPr>
        <w:rPr>
          <w:rFonts w:ascii="Times New Roman" w:hAnsi="Times New Roman"/>
        </w:rPr>
      </w:pPr>
      <w:r>
        <w:rPr>
          <w:rFonts w:ascii="Times New Roman" w:hAnsi="Times New Roman" w:cs="Arial"/>
          <w:noProof/>
          <w:szCs w:val="24"/>
          <w:lang w:bidi="he-IL"/>
        </w:rPr>
        <w:t>Herceptin has been studied in combination with anastrozole for first-line treatment of HER2-overexpressing, hormone receptor-positive (e.g. oestrogen</w:t>
      </w:r>
      <w:r>
        <w:rPr>
          <w:rFonts w:ascii="Times New Roman" w:hAnsi="Times New Roman"/>
        </w:rPr>
        <w:t xml:space="preserve"> </w:t>
      </w:r>
      <w:r>
        <w:rPr>
          <w:rFonts w:ascii="Times New Roman" w:hAnsi="Times New Roman" w:cs="Arial"/>
          <w:noProof/>
          <w:szCs w:val="24"/>
          <w:lang w:bidi="he-IL"/>
        </w:rPr>
        <w:t>receptor [ER]-positive and/or progesterone receptor [PR]-positive) postmenopausal patients with metastatic breast cancer who have not received chemotherapy for their metastatic disease.</w:t>
      </w:r>
      <w:r>
        <w:rPr>
          <w:rFonts w:ascii="Times New Roman" w:hAnsi="Times New Roman" w:cs="Arial"/>
          <w:szCs w:val="24"/>
          <w:lang w:bidi="he-IL"/>
        </w:rPr>
        <w:t xml:space="preserve"> </w:t>
      </w:r>
      <w:r>
        <w:rPr>
          <w:rFonts w:ascii="Times New Roman" w:hAnsi="Times New Roman" w:cs="Arial"/>
          <w:noProof/>
          <w:szCs w:val="24"/>
          <w:lang w:bidi="he-IL"/>
        </w:rPr>
        <w:t>Patients with cerebral metastases were also excluded.</w:t>
      </w:r>
      <w:r>
        <w:rPr>
          <w:rFonts w:ascii="Times New Roman" w:hAnsi="Times New Roman" w:cs="Arial"/>
          <w:szCs w:val="24"/>
          <w:lang w:bidi="he-IL"/>
        </w:rPr>
        <w:t xml:space="preserve"> </w:t>
      </w:r>
      <w:r>
        <w:rPr>
          <w:rFonts w:ascii="Times New Roman" w:hAnsi="Times New Roman" w:cs="Arial"/>
          <w:noProof/>
          <w:szCs w:val="24"/>
          <w:lang w:bidi="he-IL"/>
        </w:rPr>
        <w:t>Progression-free survival was significantly improved in the Herceptin plus anastrozole arm compared to anastrozole alone (4.8 months versus 2.4 months, p=0.0016).</w:t>
      </w:r>
      <w:r>
        <w:rPr>
          <w:rFonts w:ascii="Times New Roman" w:hAnsi="Times New Roman" w:cs="Arial"/>
          <w:szCs w:val="24"/>
          <w:lang w:bidi="he-IL"/>
        </w:rPr>
        <w:t xml:space="preserve"> </w:t>
      </w:r>
      <w:r>
        <w:rPr>
          <w:rFonts w:ascii="Times New Roman" w:hAnsi="Times New Roman" w:cs="Arial"/>
          <w:noProof/>
          <w:szCs w:val="24"/>
          <w:lang w:bidi="he-IL"/>
        </w:rPr>
        <w:t>The following parameters were also improved by addition of Herceptin:</w:t>
      </w:r>
      <w:r>
        <w:rPr>
          <w:rFonts w:ascii="Times New Roman" w:hAnsi="Times New Roman" w:cs="Arial"/>
          <w:szCs w:val="24"/>
          <w:lang w:bidi="he-IL"/>
        </w:rPr>
        <w:t xml:space="preserve"> </w:t>
      </w:r>
      <w:r>
        <w:rPr>
          <w:rFonts w:ascii="Times New Roman" w:hAnsi="Times New Roman" w:cs="Arial"/>
          <w:noProof/>
          <w:szCs w:val="24"/>
          <w:lang w:bidi="he-IL"/>
        </w:rPr>
        <w:t>overall response (16.5% versus 6.7%), clinical benefit rate (42.7% versus 27.9%) and time to progression (4.8 months versus 2.4 months).</w:t>
      </w:r>
      <w:r>
        <w:rPr>
          <w:rFonts w:ascii="Times New Roman" w:hAnsi="Times New Roman" w:cs="Arial"/>
          <w:szCs w:val="24"/>
          <w:lang w:bidi="he-IL"/>
        </w:rPr>
        <w:t xml:space="preserve"> </w:t>
      </w:r>
      <w:r>
        <w:rPr>
          <w:rFonts w:ascii="Times New Roman" w:hAnsi="Times New Roman" w:cs="Arial"/>
          <w:noProof/>
          <w:szCs w:val="24"/>
          <w:lang w:bidi="he-IL"/>
        </w:rPr>
        <w:t>For time to response and duration of response no difference could be found between the two arms.</w:t>
      </w:r>
      <w:r>
        <w:rPr>
          <w:rFonts w:ascii="Times New Roman" w:hAnsi="Times New Roman" w:cs="Arial"/>
          <w:szCs w:val="24"/>
          <w:lang w:bidi="he-IL"/>
        </w:rPr>
        <w:t xml:space="preserve"> </w:t>
      </w:r>
      <w:r>
        <w:rPr>
          <w:rFonts w:ascii="Times New Roman" w:hAnsi="Times New Roman" w:cs="Arial"/>
          <w:noProof/>
          <w:szCs w:val="24"/>
          <w:lang w:bidi="he-IL"/>
        </w:rPr>
        <w:t>The median overall survival was extended by 4.6 months for patients in the combination arm.</w:t>
      </w:r>
      <w:r>
        <w:rPr>
          <w:rFonts w:ascii="Times New Roman" w:hAnsi="Times New Roman" w:cs="Arial"/>
          <w:szCs w:val="24"/>
          <w:lang w:bidi="he-IL"/>
        </w:rPr>
        <w:t xml:space="preserve"> </w:t>
      </w:r>
      <w:r>
        <w:rPr>
          <w:rFonts w:ascii="Times New Roman" w:hAnsi="Times New Roman" w:cs="Arial"/>
          <w:noProof/>
          <w:szCs w:val="24"/>
          <w:lang w:bidi="he-IL"/>
        </w:rPr>
        <w:t>The difference was not statistically significant.</w:t>
      </w:r>
      <w:r>
        <w:rPr>
          <w:rFonts w:ascii="Times New Roman" w:hAnsi="Times New Roman" w:cs="Arial"/>
          <w:szCs w:val="24"/>
          <w:lang w:bidi="he-IL"/>
        </w:rPr>
        <w:t xml:space="preserve"> </w:t>
      </w:r>
      <w:r>
        <w:rPr>
          <w:rFonts w:ascii="Times New Roman" w:hAnsi="Times New Roman" w:cs="Arial"/>
          <w:noProof/>
          <w:szCs w:val="24"/>
          <w:lang w:bidi="he-IL"/>
        </w:rPr>
        <w:t>However, it must be borne in mind that more than half the patients in the anastrozole alone arm crossed over to a Herceptin-containing regimen after disease progression.</w:t>
      </w:r>
      <w:r>
        <w:rPr>
          <w:rFonts w:ascii="Times New Roman" w:hAnsi="Times New Roman" w:cs="Arial"/>
          <w:szCs w:val="24"/>
          <w:lang w:bidi="he-IL"/>
        </w:rPr>
        <w:t xml:space="preserve"> </w:t>
      </w:r>
      <w:r>
        <w:rPr>
          <w:rFonts w:ascii="Times New Roman" w:hAnsi="Times New Roman" w:cs="Arial"/>
          <w:noProof/>
          <w:szCs w:val="24"/>
          <w:lang w:bidi="he-IL"/>
        </w:rPr>
        <w:t>Fifty-two percent of patients receiving Herceptin plus anastrozole survived for at least 2 years compared to 45% of patients receiving anastrozole only at the start of treatment (statistically non-significant difference).</w:t>
      </w:r>
    </w:p>
    <w:p w14:paraId="4FD0C1AB" w14:textId="77777777" w:rsidR="00AF2C5E" w:rsidRDefault="00AF2C5E">
      <w:pPr>
        <w:pStyle w:val="Heading3"/>
        <w:rPr>
          <w:iCs/>
        </w:rPr>
      </w:pPr>
      <w:r>
        <w:rPr>
          <w:iCs/>
        </w:rPr>
        <w:t>Early breast cancer</w:t>
      </w:r>
    </w:p>
    <w:p w14:paraId="16A29264" w14:textId="77777777" w:rsidR="00AF2C5E" w:rsidRDefault="00AF2C5E">
      <w:pPr>
        <w:pStyle w:val="J1"/>
      </w:pPr>
      <w:r>
        <w:t>In the adjuvant setting, Herceptin was investigated in four multicentre, randomised phase III trials:</w:t>
      </w:r>
    </w:p>
    <w:p w14:paraId="75D6D4ED" w14:textId="77777777" w:rsidR="00AF2C5E" w:rsidRDefault="00AF2C5E">
      <w:pPr>
        <w:pStyle w:val="J1"/>
      </w:pPr>
      <w:r>
        <w:t>The BO16348 (HERA) study was designed to compare one and two years of three-weekly Herceptin treatment versus observation in patients with HER2-positive early breast cancer following surgery, established chemotherapy and (where applicable) radiotherapy. In addition, two-year and one-year Herceptin treatments were compared. Patients assigned to receive Herceptin were given an initial loading dose of 8 mg/kg body weight, followed by 6 mg/kg body weight every three weeks for one or two years.</w:t>
      </w:r>
    </w:p>
    <w:p w14:paraId="4DB376B1" w14:textId="77777777" w:rsidR="00AF2C5E" w:rsidRDefault="00AF2C5E">
      <w:pPr>
        <w:pStyle w:val="J1"/>
      </w:pPr>
      <w:r>
        <w:t>HER2-positive early breast cancer in the BO16348 (HERA) study was limited to operable primary invasive adenocarcinoma of the breast with positive axillary lymph nodes or negative axillary lymph nodes with tumours at least 1 cm in diameter.</w:t>
      </w:r>
    </w:p>
    <w:p w14:paraId="78DD4208" w14:textId="77777777" w:rsidR="00AF2C5E" w:rsidRDefault="00AF2C5E">
      <w:pPr>
        <w:pStyle w:val="J1"/>
      </w:pPr>
      <w:r>
        <w:t>The efficacy results from the BO16348 (HERA) study are summarised in the following table:</w:t>
      </w:r>
    </w:p>
    <w:p w14:paraId="5B3B3606" w14:textId="77777777" w:rsidR="00AF2C5E" w:rsidRDefault="00AF2C5E">
      <w:pPr>
        <w:pStyle w:val="THead2"/>
      </w:pPr>
      <w:r>
        <w:lastRenderedPageBreak/>
        <w:t>Efficacy results (BO16348/HERA study) for Herceptin (treatment for 1 year) versus non-treatment: results after median follow-up for 12 months* and 8 years**</w:t>
      </w:r>
    </w:p>
    <w:tbl>
      <w:tblPr>
        <w:tblW w:w="90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51"/>
        <w:gridCol w:w="1426"/>
        <w:gridCol w:w="1426"/>
        <w:gridCol w:w="1426"/>
        <w:gridCol w:w="1426"/>
      </w:tblGrid>
      <w:tr w:rsidR="00AF2C5E" w:rsidRPr="00AF2C5E" w14:paraId="57A723DF" w14:textId="77777777">
        <w:trPr>
          <w:cantSplit/>
        </w:trPr>
        <w:tc>
          <w:tcPr>
            <w:tcW w:w="3351" w:type="dxa"/>
          </w:tcPr>
          <w:p w14:paraId="09946D9C" w14:textId="77777777" w:rsidR="00AF2C5E" w:rsidRPr="00AF2C5E" w:rsidRDefault="00AF2C5E">
            <w:pPr>
              <w:pStyle w:val="T1"/>
              <w:keepNext/>
              <w:rPr>
                <w:rFonts w:cs="Arial"/>
                <w:szCs w:val="24"/>
              </w:rPr>
            </w:pPr>
          </w:p>
        </w:tc>
        <w:tc>
          <w:tcPr>
            <w:tcW w:w="2852" w:type="dxa"/>
            <w:gridSpan w:val="2"/>
          </w:tcPr>
          <w:p w14:paraId="1E3D9C97" w14:textId="77777777" w:rsidR="00AF2C5E" w:rsidRPr="00AF2C5E" w:rsidRDefault="00AF2C5E">
            <w:pPr>
              <w:pStyle w:val="T1"/>
              <w:keepNext/>
              <w:jc w:val="center"/>
              <w:rPr>
                <w:rFonts w:cs="Arial"/>
                <w:szCs w:val="24"/>
              </w:rPr>
            </w:pPr>
            <w:r w:rsidRPr="00AF2C5E">
              <w:rPr>
                <w:rFonts w:cs="Arial"/>
                <w:szCs w:val="24"/>
              </w:rPr>
              <w:t>Median follow-up</w:t>
            </w:r>
            <w:r w:rsidRPr="00AF2C5E">
              <w:rPr>
                <w:rFonts w:cs="Arial"/>
                <w:szCs w:val="24"/>
              </w:rPr>
              <w:br/>
              <w:t>12 months</w:t>
            </w:r>
          </w:p>
        </w:tc>
        <w:tc>
          <w:tcPr>
            <w:tcW w:w="2852" w:type="dxa"/>
            <w:gridSpan w:val="2"/>
          </w:tcPr>
          <w:p w14:paraId="3CAD190F" w14:textId="77777777" w:rsidR="00AF2C5E" w:rsidRPr="00AF2C5E" w:rsidRDefault="00AF2C5E">
            <w:pPr>
              <w:pStyle w:val="T1"/>
              <w:keepNext/>
              <w:jc w:val="center"/>
              <w:rPr>
                <w:rFonts w:cs="Arial"/>
                <w:szCs w:val="24"/>
              </w:rPr>
            </w:pPr>
            <w:r w:rsidRPr="00AF2C5E">
              <w:rPr>
                <w:rFonts w:cs="Arial"/>
                <w:szCs w:val="24"/>
              </w:rPr>
              <w:t>Median follow-up</w:t>
            </w:r>
            <w:r w:rsidRPr="00AF2C5E">
              <w:rPr>
                <w:rFonts w:cs="Arial"/>
                <w:szCs w:val="24"/>
              </w:rPr>
              <w:br/>
              <w:t>8 years</w:t>
            </w:r>
          </w:p>
        </w:tc>
      </w:tr>
      <w:tr w:rsidR="00AF2C5E" w:rsidRPr="00AF2C5E" w14:paraId="40F05801" w14:textId="77777777">
        <w:trPr>
          <w:cantSplit/>
        </w:trPr>
        <w:tc>
          <w:tcPr>
            <w:tcW w:w="3351" w:type="dxa"/>
            <w:tcBorders>
              <w:bottom w:val="nil"/>
            </w:tcBorders>
          </w:tcPr>
          <w:p w14:paraId="42181088" w14:textId="77777777" w:rsidR="00AF2C5E" w:rsidRPr="00AF2C5E" w:rsidRDefault="00AF2C5E">
            <w:pPr>
              <w:pStyle w:val="T1"/>
              <w:keepNext/>
              <w:rPr>
                <w:rFonts w:cs="Arial"/>
                <w:szCs w:val="24"/>
              </w:rPr>
            </w:pPr>
            <w:r w:rsidRPr="00AF2C5E">
              <w:rPr>
                <w:rFonts w:cs="Arial"/>
                <w:szCs w:val="24"/>
              </w:rPr>
              <w:t>Parameter</w:t>
            </w:r>
          </w:p>
        </w:tc>
        <w:tc>
          <w:tcPr>
            <w:tcW w:w="1426" w:type="dxa"/>
            <w:tcBorders>
              <w:bottom w:val="nil"/>
            </w:tcBorders>
          </w:tcPr>
          <w:p w14:paraId="303F082D" w14:textId="77777777" w:rsidR="00AF2C5E" w:rsidRPr="00AF2C5E" w:rsidRDefault="00AF2C5E">
            <w:pPr>
              <w:pStyle w:val="T1"/>
              <w:keepNext/>
              <w:jc w:val="center"/>
              <w:rPr>
                <w:rFonts w:cs="Arial"/>
                <w:b/>
                <w:szCs w:val="24"/>
              </w:rPr>
            </w:pPr>
            <w:r w:rsidRPr="00AF2C5E">
              <w:rPr>
                <w:rFonts w:cs="Arial"/>
                <w:b/>
                <w:szCs w:val="24"/>
              </w:rPr>
              <w:t>No Herceptin, observation only</w:t>
            </w:r>
          </w:p>
        </w:tc>
        <w:tc>
          <w:tcPr>
            <w:tcW w:w="1426" w:type="dxa"/>
            <w:tcBorders>
              <w:bottom w:val="nil"/>
            </w:tcBorders>
          </w:tcPr>
          <w:p w14:paraId="7D2966DC" w14:textId="77777777" w:rsidR="00AF2C5E" w:rsidRPr="00AF2C5E" w:rsidRDefault="00AF2C5E">
            <w:pPr>
              <w:pStyle w:val="T1"/>
              <w:keepNext/>
              <w:jc w:val="center"/>
              <w:rPr>
                <w:rFonts w:cs="Arial"/>
                <w:b/>
                <w:szCs w:val="24"/>
              </w:rPr>
            </w:pPr>
            <w:r w:rsidRPr="00AF2C5E">
              <w:rPr>
                <w:rFonts w:cs="Arial"/>
                <w:b/>
                <w:szCs w:val="24"/>
              </w:rPr>
              <w:t>Herceptin</w:t>
            </w:r>
            <w:r w:rsidRPr="00AF2C5E">
              <w:rPr>
                <w:rFonts w:cs="Arial"/>
                <w:b/>
                <w:szCs w:val="24"/>
              </w:rPr>
              <w:br/>
              <w:t>1 year</w:t>
            </w:r>
          </w:p>
        </w:tc>
        <w:tc>
          <w:tcPr>
            <w:tcW w:w="1426" w:type="dxa"/>
            <w:tcBorders>
              <w:bottom w:val="nil"/>
            </w:tcBorders>
          </w:tcPr>
          <w:p w14:paraId="385BEED3" w14:textId="77777777" w:rsidR="00AF2C5E" w:rsidRPr="00AF2C5E" w:rsidRDefault="00AF2C5E">
            <w:pPr>
              <w:pStyle w:val="T1"/>
              <w:keepNext/>
              <w:jc w:val="center"/>
              <w:rPr>
                <w:rFonts w:cs="Arial"/>
                <w:b/>
                <w:szCs w:val="24"/>
              </w:rPr>
            </w:pPr>
            <w:r w:rsidRPr="00AF2C5E">
              <w:rPr>
                <w:rFonts w:cs="Arial"/>
                <w:b/>
                <w:szCs w:val="24"/>
              </w:rPr>
              <w:t>No Herceptin, observation only</w:t>
            </w:r>
          </w:p>
        </w:tc>
        <w:tc>
          <w:tcPr>
            <w:tcW w:w="1426" w:type="dxa"/>
            <w:tcBorders>
              <w:bottom w:val="nil"/>
            </w:tcBorders>
          </w:tcPr>
          <w:p w14:paraId="39E5D385" w14:textId="77777777" w:rsidR="00AF2C5E" w:rsidRPr="00AF2C5E" w:rsidRDefault="00AF2C5E">
            <w:pPr>
              <w:pStyle w:val="T1"/>
              <w:keepNext/>
              <w:jc w:val="center"/>
              <w:rPr>
                <w:rFonts w:cs="Arial"/>
                <w:b/>
                <w:szCs w:val="24"/>
              </w:rPr>
            </w:pPr>
            <w:r w:rsidRPr="00AF2C5E">
              <w:rPr>
                <w:rFonts w:cs="Arial"/>
                <w:b/>
                <w:szCs w:val="24"/>
              </w:rPr>
              <w:t>Herceptin</w:t>
            </w:r>
            <w:r w:rsidRPr="00AF2C5E">
              <w:rPr>
                <w:rFonts w:cs="Arial"/>
                <w:b/>
                <w:szCs w:val="24"/>
              </w:rPr>
              <w:br/>
              <w:t>1 year</w:t>
            </w:r>
          </w:p>
        </w:tc>
      </w:tr>
      <w:tr w:rsidR="00AF2C5E" w:rsidRPr="00AF2C5E" w14:paraId="5BA3BD2F" w14:textId="77777777">
        <w:trPr>
          <w:cantSplit/>
        </w:trPr>
        <w:tc>
          <w:tcPr>
            <w:tcW w:w="3351" w:type="dxa"/>
            <w:tcBorders>
              <w:top w:val="nil"/>
            </w:tcBorders>
          </w:tcPr>
          <w:p w14:paraId="5F6CEB2A" w14:textId="77777777" w:rsidR="00AF2C5E" w:rsidRPr="00AF2C5E" w:rsidRDefault="00AF2C5E">
            <w:pPr>
              <w:pStyle w:val="T1"/>
              <w:keepNext/>
              <w:rPr>
                <w:rFonts w:cs="Arial"/>
                <w:szCs w:val="24"/>
              </w:rPr>
            </w:pPr>
          </w:p>
        </w:tc>
        <w:tc>
          <w:tcPr>
            <w:tcW w:w="1426" w:type="dxa"/>
            <w:tcBorders>
              <w:top w:val="nil"/>
            </w:tcBorders>
          </w:tcPr>
          <w:p w14:paraId="70868B10" w14:textId="77777777" w:rsidR="00AF2C5E" w:rsidRPr="00AF2C5E" w:rsidRDefault="00AF2C5E">
            <w:pPr>
              <w:pStyle w:val="T1"/>
              <w:keepNext/>
              <w:jc w:val="center"/>
              <w:rPr>
                <w:rFonts w:cs="Arial"/>
                <w:b/>
                <w:szCs w:val="24"/>
              </w:rPr>
            </w:pPr>
            <w:r w:rsidRPr="00AF2C5E">
              <w:rPr>
                <w:rFonts w:cs="Arial"/>
                <w:b/>
                <w:szCs w:val="24"/>
              </w:rPr>
              <w:t>n=1693</w:t>
            </w:r>
          </w:p>
        </w:tc>
        <w:tc>
          <w:tcPr>
            <w:tcW w:w="1426" w:type="dxa"/>
            <w:tcBorders>
              <w:top w:val="nil"/>
            </w:tcBorders>
          </w:tcPr>
          <w:p w14:paraId="7491D8B9" w14:textId="77777777" w:rsidR="00AF2C5E" w:rsidRPr="00AF2C5E" w:rsidRDefault="00AF2C5E">
            <w:pPr>
              <w:pStyle w:val="T1"/>
              <w:keepNext/>
              <w:jc w:val="center"/>
              <w:rPr>
                <w:rFonts w:cs="Arial"/>
                <w:b/>
                <w:szCs w:val="24"/>
              </w:rPr>
            </w:pPr>
            <w:r w:rsidRPr="00AF2C5E">
              <w:rPr>
                <w:rFonts w:cs="Arial"/>
                <w:b/>
                <w:szCs w:val="24"/>
              </w:rPr>
              <w:t>n=1693</w:t>
            </w:r>
          </w:p>
        </w:tc>
        <w:tc>
          <w:tcPr>
            <w:tcW w:w="1426" w:type="dxa"/>
            <w:tcBorders>
              <w:top w:val="nil"/>
            </w:tcBorders>
          </w:tcPr>
          <w:p w14:paraId="1A343169" w14:textId="77777777" w:rsidR="00AF2C5E" w:rsidRPr="00AF2C5E" w:rsidRDefault="00AF2C5E">
            <w:pPr>
              <w:pStyle w:val="T1"/>
              <w:keepNext/>
              <w:jc w:val="center"/>
              <w:rPr>
                <w:rFonts w:cs="Arial"/>
                <w:b/>
                <w:szCs w:val="24"/>
              </w:rPr>
            </w:pPr>
            <w:r w:rsidRPr="00AF2C5E">
              <w:rPr>
                <w:rFonts w:cs="Arial"/>
                <w:b/>
                <w:szCs w:val="24"/>
              </w:rPr>
              <w:t>n=1697***</w:t>
            </w:r>
          </w:p>
        </w:tc>
        <w:tc>
          <w:tcPr>
            <w:tcW w:w="1426" w:type="dxa"/>
            <w:tcBorders>
              <w:top w:val="nil"/>
            </w:tcBorders>
          </w:tcPr>
          <w:p w14:paraId="5F585AE4" w14:textId="77777777" w:rsidR="00AF2C5E" w:rsidRPr="00AF2C5E" w:rsidRDefault="00AF2C5E">
            <w:pPr>
              <w:pStyle w:val="T1"/>
              <w:keepNext/>
              <w:jc w:val="center"/>
              <w:rPr>
                <w:rFonts w:cs="Arial"/>
                <w:b/>
                <w:szCs w:val="24"/>
              </w:rPr>
            </w:pPr>
            <w:r w:rsidRPr="00AF2C5E">
              <w:rPr>
                <w:rFonts w:cs="Arial"/>
                <w:b/>
                <w:szCs w:val="24"/>
              </w:rPr>
              <w:t>n=1702***</w:t>
            </w:r>
          </w:p>
        </w:tc>
      </w:tr>
      <w:tr w:rsidR="00AF2C5E" w:rsidRPr="00AF2C5E" w14:paraId="221F1C62" w14:textId="77777777">
        <w:trPr>
          <w:cantSplit/>
        </w:trPr>
        <w:tc>
          <w:tcPr>
            <w:tcW w:w="3351" w:type="dxa"/>
            <w:tcBorders>
              <w:bottom w:val="nil"/>
            </w:tcBorders>
          </w:tcPr>
          <w:p w14:paraId="339DA48B" w14:textId="77777777" w:rsidR="00AF2C5E" w:rsidRPr="00AF2C5E" w:rsidRDefault="00AF2C5E">
            <w:pPr>
              <w:pStyle w:val="T1a"/>
              <w:keepNext/>
              <w:rPr>
                <w:szCs w:val="24"/>
                <w:lang w:bidi="he-IL"/>
              </w:rPr>
            </w:pPr>
            <w:r w:rsidRPr="00AF2C5E">
              <w:rPr>
                <w:noProof/>
                <w:szCs w:val="24"/>
                <w:lang w:bidi="he-IL"/>
              </w:rPr>
              <w:t>Disease-free survival</w:t>
            </w:r>
          </w:p>
        </w:tc>
        <w:tc>
          <w:tcPr>
            <w:tcW w:w="1426" w:type="dxa"/>
            <w:tcBorders>
              <w:bottom w:val="nil"/>
            </w:tcBorders>
          </w:tcPr>
          <w:p w14:paraId="41BE34A0" w14:textId="77777777" w:rsidR="00AF2C5E" w:rsidRPr="00AF2C5E" w:rsidRDefault="00AF2C5E">
            <w:pPr>
              <w:pStyle w:val="T1a"/>
              <w:keepNext/>
              <w:jc w:val="center"/>
              <w:rPr>
                <w:szCs w:val="24"/>
                <w:lang w:bidi="he-IL"/>
              </w:rPr>
            </w:pPr>
          </w:p>
        </w:tc>
        <w:tc>
          <w:tcPr>
            <w:tcW w:w="1426" w:type="dxa"/>
            <w:tcBorders>
              <w:bottom w:val="nil"/>
            </w:tcBorders>
          </w:tcPr>
          <w:p w14:paraId="38F5A695" w14:textId="77777777" w:rsidR="00AF2C5E" w:rsidRPr="00AF2C5E" w:rsidRDefault="00AF2C5E">
            <w:pPr>
              <w:pStyle w:val="T1a"/>
              <w:keepNext/>
              <w:jc w:val="center"/>
              <w:rPr>
                <w:szCs w:val="24"/>
                <w:lang w:bidi="he-IL"/>
              </w:rPr>
            </w:pPr>
          </w:p>
        </w:tc>
        <w:tc>
          <w:tcPr>
            <w:tcW w:w="1426" w:type="dxa"/>
            <w:tcBorders>
              <w:bottom w:val="nil"/>
            </w:tcBorders>
          </w:tcPr>
          <w:p w14:paraId="43046E68" w14:textId="77777777" w:rsidR="00AF2C5E" w:rsidRPr="00AF2C5E" w:rsidRDefault="00AF2C5E">
            <w:pPr>
              <w:pStyle w:val="T1a"/>
              <w:keepNext/>
              <w:jc w:val="center"/>
              <w:rPr>
                <w:szCs w:val="24"/>
                <w:lang w:bidi="he-IL"/>
              </w:rPr>
            </w:pPr>
          </w:p>
        </w:tc>
        <w:tc>
          <w:tcPr>
            <w:tcW w:w="1426" w:type="dxa"/>
            <w:tcBorders>
              <w:bottom w:val="nil"/>
            </w:tcBorders>
          </w:tcPr>
          <w:p w14:paraId="1C0C622D" w14:textId="77777777" w:rsidR="00AF2C5E" w:rsidRPr="00AF2C5E" w:rsidRDefault="00AF2C5E">
            <w:pPr>
              <w:pStyle w:val="T1a"/>
              <w:keepNext/>
              <w:jc w:val="center"/>
              <w:rPr>
                <w:szCs w:val="24"/>
                <w:lang w:bidi="he-IL"/>
              </w:rPr>
            </w:pPr>
          </w:p>
        </w:tc>
      </w:tr>
      <w:tr w:rsidR="00AF2C5E" w:rsidRPr="00AF2C5E" w14:paraId="43FF81FC" w14:textId="77777777">
        <w:trPr>
          <w:cantSplit/>
        </w:trPr>
        <w:tc>
          <w:tcPr>
            <w:tcW w:w="3351" w:type="dxa"/>
            <w:tcBorders>
              <w:top w:val="nil"/>
              <w:bottom w:val="nil"/>
            </w:tcBorders>
          </w:tcPr>
          <w:p w14:paraId="1E90B2BF" w14:textId="77777777" w:rsidR="00AF2C5E" w:rsidRPr="00AF2C5E" w:rsidRDefault="00AF2C5E">
            <w:pPr>
              <w:pStyle w:val="T2"/>
              <w:keepNext/>
              <w:numPr>
                <w:ilvl w:val="0"/>
                <w:numId w:val="18"/>
              </w:numPr>
              <w:tabs>
                <w:tab w:val="clear" w:pos="360"/>
              </w:tabs>
              <w:spacing w:before="0" w:after="0"/>
              <w:rPr>
                <w:szCs w:val="24"/>
                <w:lang w:bidi="he-IL"/>
              </w:rPr>
            </w:pPr>
            <w:r w:rsidRPr="00AF2C5E">
              <w:rPr>
                <w:noProof/>
                <w:szCs w:val="24"/>
                <w:lang w:bidi="he-IL"/>
              </w:rPr>
              <w:t>Number of patients with event</w:t>
            </w:r>
          </w:p>
        </w:tc>
        <w:tc>
          <w:tcPr>
            <w:tcW w:w="1426" w:type="dxa"/>
            <w:tcBorders>
              <w:top w:val="nil"/>
              <w:bottom w:val="nil"/>
            </w:tcBorders>
          </w:tcPr>
          <w:p w14:paraId="30260661" w14:textId="77777777" w:rsidR="00AF2C5E" w:rsidRPr="00AF2C5E" w:rsidRDefault="00AF2C5E">
            <w:pPr>
              <w:pStyle w:val="T2"/>
              <w:keepNext/>
              <w:jc w:val="center"/>
              <w:rPr>
                <w:szCs w:val="24"/>
                <w:lang w:bidi="he-IL"/>
              </w:rPr>
            </w:pPr>
            <w:r w:rsidRPr="00AF2C5E">
              <w:rPr>
                <w:szCs w:val="24"/>
                <w:lang w:bidi="he-IL"/>
              </w:rPr>
              <w:t>219 (12.9%)</w:t>
            </w:r>
          </w:p>
        </w:tc>
        <w:tc>
          <w:tcPr>
            <w:tcW w:w="1426" w:type="dxa"/>
            <w:tcBorders>
              <w:top w:val="nil"/>
              <w:bottom w:val="nil"/>
            </w:tcBorders>
          </w:tcPr>
          <w:p w14:paraId="3DCF8B88" w14:textId="77777777" w:rsidR="00AF2C5E" w:rsidRPr="00AF2C5E" w:rsidRDefault="00AF2C5E">
            <w:pPr>
              <w:pStyle w:val="T2"/>
              <w:keepNext/>
              <w:jc w:val="center"/>
              <w:rPr>
                <w:szCs w:val="24"/>
                <w:lang w:bidi="he-IL"/>
              </w:rPr>
            </w:pPr>
            <w:r w:rsidRPr="00AF2C5E">
              <w:rPr>
                <w:szCs w:val="24"/>
                <w:lang w:bidi="he-IL"/>
              </w:rPr>
              <w:t>127 (7.5%)</w:t>
            </w:r>
          </w:p>
        </w:tc>
        <w:tc>
          <w:tcPr>
            <w:tcW w:w="1426" w:type="dxa"/>
            <w:tcBorders>
              <w:top w:val="nil"/>
              <w:bottom w:val="nil"/>
            </w:tcBorders>
          </w:tcPr>
          <w:p w14:paraId="5E28C782" w14:textId="77777777" w:rsidR="00AF2C5E" w:rsidRPr="00AF2C5E" w:rsidRDefault="00AF2C5E">
            <w:pPr>
              <w:pStyle w:val="T2"/>
              <w:keepNext/>
              <w:jc w:val="center"/>
              <w:rPr>
                <w:szCs w:val="24"/>
                <w:lang w:bidi="he-IL"/>
              </w:rPr>
            </w:pPr>
            <w:r w:rsidRPr="00AF2C5E">
              <w:rPr>
                <w:szCs w:val="24"/>
                <w:lang w:bidi="he-IL"/>
              </w:rPr>
              <w:t>570 (33.6%)</w:t>
            </w:r>
          </w:p>
        </w:tc>
        <w:tc>
          <w:tcPr>
            <w:tcW w:w="1426" w:type="dxa"/>
            <w:tcBorders>
              <w:top w:val="nil"/>
              <w:bottom w:val="nil"/>
            </w:tcBorders>
          </w:tcPr>
          <w:p w14:paraId="5D7A9DAB" w14:textId="77777777" w:rsidR="00AF2C5E" w:rsidRPr="00AF2C5E" w:rsidRDefault="00AF2C5E">
            <w:pPr>
              <w:pStyle w:val="T2"/>
              <w:keepNext/>
              <w:jc w:val="center"/>
              <w:rPr>
                <w:szCs w:val="24"/>
                <w:lang w:bidi="he-IL"/>
              </w:rPr>
            </w:pPr>
            <w:r w:rsidRPr="00AF2C5E">
              <w:rPr>
                <w:szCs w:val="24"/>
                <w:lang w:bidi="he-IL"/>
              </w:rPr>
              <w:t>471 (27.7%)</w:t>
            </w:r>
          </w:p>
        </w:tc>
      </w:tr>
      <w:tr w:rsidR="00AF2C5E" w:rsidRPr="00AF2C5E" w14:paraId="3BEEF043" w14:textId="77777777">
        <w:trPr>
          <w:cantSplit/>
        </w:trPr>
        <w:tc>
          <w:tcPr>
            <w:tcW w:w="3351" w:type="dxa"/>
            <w:tcBorders>
              <w:top w:val="nil"/>
              <w:bottom w:val="nil"/>
            </w:tcBorders>
          </w:tcPr>
          <w:p w14:paraId="3C2A8AB9" w14:textId="77777777" w:rsidR="00AF2C5E" w:rsidRPr="00AF2C5E" w:rsidRDefault="00AF2C5E">
            <w:pPr>
              <w:pStyle w:val="T2"/>
              <w:keepNext/>
              <w:numPr>
                <w:ilvl w:val="0"/>
                <w:numId w:val="17"/>
              </w:numPr>
              <w:tabs>
                <w:tab w:val="clear" w:pos="360"/>
              </w:tabs>
              <w:spacing w:before="0" w:after="0"/>
              <w:rPr>
                <w:szCs w:val="24"/>
                <w:lang w:bidi="he-IL"/>
              </w:rPr>
            </w:pPr>
            <w:r w:rsidRPr="00AF2C5E">
              <w:rPr>
                <w:noProof/>
                <w:szCs w:val="24"/>
                <w:lang w:bidi="he-IL"/>
              </w:rPr>
              <w:t>Number of patients without event</w:t>
            </w:r>
          </w:p>
        </w:tc>
        <w:tc>
          <w:tcPr>
            <w:tcW w:w="1426" w:type="dxa"/>
            <w:tcBorders>
              <w:top w:val="nil"/>
              <w:bottom w:val="nil"/>
            </w:tcBorders>
          </w:tcPr>
          <w:p w14:paraId="47189D72" w14:textId="77777777" w:rsidR="00AF2C5E" w:rsidRPr="00AF2C5E" w:rsidRDefault="00AF2C5E">
            <w:pPr>
              <w:pStyle w:val="T2"/>
              <w:keepNext/>
              <w:jc w:val="center"/>
              <w:rPr>
                <w:szCs w:val="24"/>
                <w:lang w:bidi="he-IL"/>
              </w:rPr>
            </w:pPr>
            <w:r w:rsidRPr="00AF2C5E">
              <w:rPr>
                <w:szCs w:val="24"/>
                <w:lang w:bidi="he-IL"/>
              </w:rPr>
              <w:t>1474 (87.1%)</w:t>
            </w:r>
          </w:p>
        </w:tc>
        <w:tc>
          <w:tcPr>
            <w:tcW w:w="1426" w:type="dxa"/>
            <w:tcBorders>
              <w:top w:val="nil"/>
              <w:bottom w:val="nil"/>
            </w:tcBorders>
          </w:tcPr>
          <w:p w14:paraId="165CE7C6" w14:textId="77777777" w:rsidR="00AF2C5E" w:rsidRPr="00AF2C5E" w:rsidRDefault="00AF2C5E">
            <w:pPr>
              <w:pStyle w:val="T2"/>
              <w:keepNext/>
              <w:jc w:val="center"/>
              <w:rPr>
                <w:szCs w:val="24"/>
                <w:lang w:bidi="he-IL"/>
              </w:rPr>
            </w:pPr>
            <w:r w:rsidRPr="00AF2C5E">
              <w:rPr>
                <w:szCs w:val="24"/>
                <w:lang w:bidi="he-IL"/>
              </w:rPr>
              <w:t>1566 (92.5%)</w:t>
            </w:r>
          </w:p>
        </w:tc>
        <w:tc>
          <w:tcPr>
            <w:tcW w:w="1426" w:type="dxa"/>
            <w:tcBorders>
              <w:top w:val="nil"/>
              <w:bottom w:val="nil"/>
            </w:tcBorders>
          </w:tcPr>
          <w:p w14:paraId="053443BE" w14:textId="77777777" w:rsidR="00AF2C5E" w:rsidRPr="00AF2C5E" w:rsidRDefault="00AF2C5E">
            <w:pPr>
              <w:pStyle w:val="T2"/>
              <w:keepNext/>
              <w:jc w:val="center"/>
              <w:rPr>
                <w:szCs w:val="24"/>
                <w:lang w:bidi="he-IL"/>
              </w:rPr>
            </w:pPr>
            <w:r w:rsidRPr="00AF2C5E">
              <w:rPr>
                <w:szCs w:val="24"/>
                <w:lang w:bidi="he-IL"/>
              </w:rPr>
              <w:t>1127 (66.4%)</w:t>
            </w:r>
          </w:p>
        </w:tc>
        <w:tc>
          <w:tcPr>
            <w:tcW w:w="1426" w:type="dxa"/>
            <w:tcBorders>
              <w:top w:val="nil"/>
              <w:bottom w:val="nil"/>
            </w:tcBorders>
          </w:tcPr>
          <w:p w14:paraId="411774F7" w14:textId="77777777" w:rsidR="00AF2C5E" w:rsidRPr="00AF2C5E" w:rsidRDefault="00AF2C5E">
            <w:pPr>
              <w:pStyle w:val="T2"/>
              <w:keepNext/>
              <w:jc w:val="center"/>
              <w:rPr>
                <w:szCs w:val="24"/>
                <w:lang w:bidi="he-IL"/>
              </w:rPr>
            </w:pPr>
            <w:r w:rsidRPr="00AF2C5E">
              <w:rPr>
                <w:szCs w:val="24"/>
                <w:lang w:bidi="he-IL"/>
              </w:rPr>
              <w:t>1231 (72.3%)</w:t>
            </w:r>
          </w:p>
        </w:tc>
      </w:tr>
      <w:tr w:rsidR="00AF2C5E" w:rsidRPr="00AF2C5E" w14:paraId="6833FEA7" w14:textId="77777777">
        <w:trPr>
          <w:cantSplit/>
        </w:trPr>
        <w:tc>
          <w:tcPr>
            <w:tcW w:w="3351" w:type="dxa"/>
            <w:tcBorders>
              <w:top w:val="nil"/>
              <w:bottom w:val="nil"/>
            </w:tcBorders>
          </w:tcPr>
          <w:p w14:paraId="58840D96" w14:textId="77777777" w:rsidR="00AF2C5E" w:rsidRPr="00AF2C5E" w:rsidRDefault="00AF2C5E">
            <w:pPr>
              <w:pStyle w:val="T2"/>
              <w:keepNext/>
              <w:rPr>
                <w:szCs w:val="24"/>
                <w:lang w:bidi="he-IL"/>
              </w:rPr>
            </w:pPr>
            <w:r w:rsidRPr="00AF2C5E">
              <w:rPr>
                <w:noProof/>
                <w:szCs w:val="24"/>
                <w:lang w:bidi="he-IL"/>
              </w:rPr>
              <w:t>p vs observation</w:t>
            </w:r>
          </w:p>
        </w:tc>
        <w:tc>
          <w:tcPr>
            <w:tcW w:w="2852" w:type="dxa"/>
            <w:gridSpan w:val="2"/>
            <w:tcBorders>
              <w:top w:val="nil"/>
              <w:bottom w:val="nil"/>
            </w:tcBorders>
          </w:tcPr>
          <w:p w14:paraId="5D0A05C3" w14:textId="77777777" w:rsidR="00AF2C5E" w:rsidRPr="00AF2C5E" w:rsidRDefault="00AF2C5E">
            <w:pPr>
              <w:pStyle w:val="T2"/>
              <w:keepNext/>
              <w:jc w:val="center"/>
              <w:rPr>
                <w:szCs w:val="24"/>
                <w:lang w:bidi="he-IL"/>
              </w:rPr>
            </w:pPr>
            <w:r w:rsidRPr="00AF2C5E">
              <w:rPr>
                <w:szCs w:val="24"/>
                <w:lang w:bidi="he-IL"/>
              </w:rPr>
              <w:t>&lt;0.0001</w:t>
            </w:r>
          </w:p>
        </w:tc>
        <w:tc>
          <w:tcPr>
            <w:tcW w:w="2852" w:type="dxa"/>
            <w:gridSpan w:val="2"/>
            <w:tcBorders>
              <w:top w:val="nil"/>
              <w:bottom w:val="nil"/>
            </w:tcBorders>
          </w:tcPr>
          <w:p w14:paraId="648BF49C" w14:textId="77777777" w:rsidR="00AF2C5E" w:rsidRPr="00AF2C5E" w:rsidRDefault="00AF2C5E">
            <w:pPr>
              <w:pStyle w:val="T2"/>
              <w:keepNext/>
              <w:jc w:val="center"/>
              <w:rPr>
                <w:szCs w:val="24"/>
                <w:lang w:bidi="he-IL"/>
              </w:rPr>
            </w:pPr>
            <w:r w:rsidRPr="00AF2C5E">
              <w:rPr>
                <w:szCs w:val="24"/>
                <w:lang w:bidi="he-IL"/>
              </w:rPr>
              <w:t>&lt;0.0001</w:t>
            </w:r>
          </w:p>
        </w:tc>
      </w:tr>
      <w:tr w:rsidR="00AF2C5E" w:rsidRPr="00AF2C5E" w14:paraId="069C95F3" w14:textId="77777777">
        <w:trPr>
          <w:cantSplit/>
        </w:trPr>
        <w:tc>
          <w:tcPr>
            <w:tcW w:w="3351" w:type="dxa"/>
            <w:tcBorders>
              <w:top w:val="nil"/>
            </w:tcBorders>
          </w:tcPr>
          <w:p w14:paraId="2DBD41C8" w14:textId="77777777" w:rsidR="00AF2C5E" w:rsidRPr="00AF2C5E" w:rsidRDefault="00AF2C5E">
            <w:pPr>
              <w:pStyle w:val="T1b"/>
              <w:keepNext/>
              <w:rPr>
                <w:szCs w:val="24"/>
                <w:lang w:bidi="he-IL"/>
              </w:rPr>
            </w:pPr>
            <w:r w:rsidRPr="00AF2C5E">
              <w:rPr>
                <w:noProof/>
                <w:szCs w:val="24"/>
                <w:lang w:bidi="he-IL"/>
              </w:rPr>
              <w:t>Hazard ratio vs observation</w:t>
            </w:r>
          </w:p>
        </w:tc>
        <w:tc>
          <w:tcPr>
            <w:tcW w:w="2852" w:type="dxa"/>
            <w:gridSpan w:val="2"/>
            <w:tcBorders>
              <w:top w:val="nil"/>
            </w:tcBorders>
          </w:tcPr>
          <w:p w14:paraId="50916BD3" w14:textId="77777777" w:rsidR="00AF2C5E" w:rsidRPr="00AF2C5E" w:rsidRDefault="00AF2C5E">
            <w:pPr>
              <w:pStyle w:val="T1b"/>
              <w:keepNext/>
              <w:jc w:val="center"/>
              <w:rPr>
                <w:szCs w:val="24"/>
                <w:lang w:bidi="he-IL"/>
              </w:rPr>
            </w:pPr>
            <w:r w:rsidRPr="00AF2C5E">
              <w:rPr>
                <w:szCs w:val="24"/>
                <w:lang w:bidi="he-IL"/>
              </w:rPr>
              <w:t>0.54</w:t>
            </w:r>
          </w:p>
        </w:tc>
        <w:tc>
          <w:tcPr>
            <w:tcW w:w="2852" w:type="dxa"/>
            <w:gridSpan w:val="2"/>
            <w:tcBorders>
              <w:top w:val="nil"/>
            </w:tcBorders>
          </w:tcPr>
          <w:p w14:paraId="75E25324" w14:textId="77777777" w:rsidR="00AF2C5E" w:rsidRPr="00AF2C5E" w:rsidRDefault="00AF2C5E">
            <w:pPr>
              <w:pStyle w:val="T1b"/>
              <w:keepNext/>
              <w:jc w:val="center"/>
              <w:rPr>
                <w:szCs w:val="24"/>
                <w:lang w:bidi="he-IL"/>
              </w:rPr>
            </w:pPr>
            <w:r w:rsidRPr="00AF2C5E">
              <w:rPr>
                <w:szCs w:val="24"/>
                <w:lang w:bidi="he-IL"/>
              </w:rPr>
              <w:t>0.76</w:t>
            </w:r>
          </w:p>
        </w:tc>
      </w:tr>
      <w:tr w:rsidR="00AF2C5E" w:rsidRPr="00AF2C5E" w14:paraId="49F40F34" w14:textId="77777777">
        <w:trPr>
          <w:cantSplit/>
        </w:trPr>
        <w:tc>
          <w:tcPr>
            <w:tcW w:w="3351" w:type="dxa"/>
            <w:tcBorders>
              <w:bottom w:val="nil"/>
            </w:tcBorders>
          </w:tcPr>
          <w:p w14:paraId="40314725" w14:textId="77777777" w:rsidR="00AF2C5E" w:rsidRPr="00AF2C5E" w:rsidRDefault="00AF2C5E">
            <w:pPr>
              <w:pStyle w:val="T1a"/>
              <w:keepNext/>
              <w:rPr>
                <w:szCs w:val="24"/>
                <w:lang w:bidi="he-IL"/>
              </w:rPr>
            </w:pPr>
            <w:r w:rsidRPr="00AF2C5E">
              <w:rPr>
                <w:noProof/>
                <w:szCs w:val="24"/>
                <w:lang w:bidi="he-IL"/>
              </w:rPr>
              <w:t>Recurrence-free survival</w:t>
            </w:r>
          </w:p>
        </w:tc>
        <w:tc>
          <w:tcPr>
            <w:tcW w:w="1426" w:type="dxa"/>
            <w:tcBorders>
              <w:bottom w:val="nil"/>
            </w:tcBorders>
          </w:tcPr>
          <w:p w14:paraId="3D83354D" w14:textId="77777777" w:rsidR="00AF2C5E" w:rsidRPr="00AF2C5E" w:rsidRDefault="00AF2C5E">
            <w:pPr>
              <w:pStyle w:val="T1a"/>
              <w:keepNext/>
              <w:jc w:val="center"/>
              <w:rPr>
                <w:szCs w:val="24"/>
                <w:lang w:bidi="he-IL"/>
              </w:rPr>
            </w:pPr>
          </w:p>
        </w:tc>
        <w:tc>
          <w:tcPr>
            <w:tcW w:w="1426" w:type="dxa"/>
            <w:tcBorders>
              <w:bottom w:val="nil"/>
            </w:tcBorders>
          </w:tcPr>
          <w:p w14:paraId="6DA0A329" w14:textId="77777777" w:rsidR="00AF2C5E" w:rsidRPr="00AF2C5E" w:rsidRDefault="00AF2C5E">
            <w:pPr>
              <w:pStyle w:val="T1a"/>
              <w:keepNext/>
              <w:jc w:val="center"/>
              <w:rPr>
                <w:szCs w:val="24"/>
                <w:lang w:bidi="he-IL"/>
              </w:rPr>
            </w:pPr>
          </w:p>
        </w:tc>
        <w:tc>
          <w:tcPr>
            <w:tcW w:w="1426" w:type="dxa"/>
            <w:tcBorders>
              <w:bottom w:val="nil"/>
            </w:tcBorders>
          </w:tcPr>
          <w:p w14:paraId="46A05414" w14:textId="77777777" w:rsidR="00AF2C5E" w:rsidRPr="00AF2C5E" w:rsidRDefault="00AF2C5E">
            <w:pPr>
              <w:pStyle w:val="T1a"/>
              <w:keepNext/>
              <w:jc w:val="center"/>
              <w:rPr>
                <w:szCs w:val="24"/>
                <w:lang w:bidi="he-IL"/>
              </w:rPr>
            </w:pPr>
          </w:p>
        </w:tc>
        <w:tc>
          <w:tcPr>
            <w:tcW w:w="1426" w:type="dxa"/>
            <w:tcBorders>
              <w:bottom w:val="nil"/>
            </w:tcBorders>
          </w:tcPr>
          <w:p w14:paraId="0FC66A98" w14:textId="77777777" w:rsidR="00AF2C5E" w:rsidRPr="00AF2C5E" w:rsidRDefault="00AF2C5E">
            <w:pPr>
              <w:pStyle w:val="T1a"/>
              <w:keepNext/>
              <w:jc w:val="center"/>
              <w:rPr>
                <w:szCs w:val="24"/>
                <w:lang w:bidi="he-IL"/>
              </w:rPr>
            </w:pPr>
          </w:p>
        </w:tc>
      </w:tr>
      <w:tr w:rsidR="00AF2C5E" w:rsidRPr="00AF2C5E" w14:paraId="71BD25AB" w14:textId="77777777">
        <w:trPr>
          <w:cantSplit/>
        </w:trPr>
        <w:tc>
          <w:tcPr>
            <w:tcW w:w="3351" w:type="dxa"/>
            <w:tcBorders>
              <w:top w:val="nil"/>
              <w:bottom w:val="nil"/>
            </w:tcBorders>
          </w:tcPr>
          <w:p w14:paraId="32F80A65" w14:textId="77777777" w:rsidR="00AF2C5E" w:rsidRPr="00AF2C5E" w:rsidRDefault="00AF2C5E">
            <w:pPr>
              <w:pStyle w:val="T2"/>
              <w:keepNext/>
              <w:numPr>
                <w:ilvl w:val="0"/>
                <w:numId w:val="19"/>
              </w:numPr>
              <w:tabs>
                <w:tab w:val="clear" w:pos="360"/>
              </w:tabs>
              <w:spacing w:before="0" w:after="0"/>
              <w:rPr>
                <w:szCs w:val="24"/>
                <w:lang w:bidi="he-IL"/>
              </w:rPr>
            </w:pPr>
            <w:r w:rsidRPr="00AF2C5E">
              <w:rPr>
                <w:noProof/>
                <w:szCs w:val="24"/>
                <w:lang w:bidi="he-IL"/>
              </w:rPr>
              <w:t>Number of patients with event</w:t>
            </w:r>
          </w:p>
        </w:tc>
        <w:tc>
          <w:tcPr>
            <w:tcW w:w="1426" w:type="dxa"/>
            <w:tcBorders>
              <w:top w:val="nil"/>
              <w:bottom w:val="nil"/>
            </w:tcBorders>
          </w:tcPr>
          <w:p w14:paraId="70B3899F" w14:textId="77777777" w:rsidR="00AF2C5E" w:rsidRPr="00AF2C5E" w:rsidRDefault="00AF2C5E">
            <w:pPr>
              <w:pStyle w:val="T2"/>
              <w:keepNext/>
              <w:jc w:val="center"/>
              <w:rPr>
                <w:szCs w:val="24"/>
                <w:lang w:bidi="he-IL"/>
              </w:rPr>
            </w:pPr>
            <w:r w:rsidRPr="00AF2C5E">
              <w:rPr>
                <w:szCs w:val="24"/>
                <w:lang w:bidi="he-IL"/>
              </w:rPr>
              <w:t>208 (12.3%)</w:t>
            </w:r>
          </w:p>
        </w:tc>
        <w:tc>
          <w:tcPr>
            <w:tcW w:w="1426" w:type="dxa"/>
            <w:tcBorders>
              <w:top w:val="nil"/>
              <w:bottom w:val="nil"/>
            </w:tcBorders>
          </w:tcPr>
          <w:p w14:paraId="32B39D29" w14:textId="77777777" w:rsidR="00AF2C5E" w:rsidRPr="00AF2C5E" w:rsidRDefault="00AF2C5E">
            <w:pPr>
              <w:pStyle w:val="T2"/>
              <w:keepNext/>
              <w:jc w:val="center"/>
              <w:rPr>
                <w:szCs w:val="24"/>
                <w:lang w:bidi="he-IL"/>
              </w:rPr>
            </w:pPr>
            <w:r w:rsidRPr="00AF2C5E">
              <w:rPr>
                <w:szCs w:val="24"/>
                <w:lang w:bidi="he-IL"/>
              </w:rPr>
              <w:t>113 (6.7%)</w:t>
            </w:r>
          </w:p>
        </w:tc>
        <w:tc>
          <w:tcPr>
            <w:tcW w:w="1426" w:type="dxa"/>
            <w:tcBorders>
              <w:top w:val="nil"/>
              <w:bottom w:val="nil"/>
            </w:tcBorders>
          </w:tcPr>
          <w:p w14:paraId="2FA1063C" w14:textId="77777777" w:rsidR="00AF2C5E" w:rsidRPr="00AF2C5E" w:rsidRDefault="00AF2C5E">
            <w:pPr>
              <w:pStyle w:val="T2"/>
              <w:keepNext/>
              <w:jc w:val="center"/>
              <w:rPr>
                <w:szCs w:val="24"/>
                <w:lang w:bidi="he-IL"/>
              </w:rPr>
            </w:pPr>
            <w:r w:rsidRPr="00AF2C5E">
              <w:rPr>
                <w:szCs w:val="24"/>
                <w:lang w:bidi="he-IL"/>
              </w:rPr>
              <w:t>506 (29.8%)</w:t>
            </w:r>
          </w:p>
        </w:tc>
        <w:tc>
          <w:tcPr>
            <w:tcW w:w="1426" w:type="dxa"/>
            <w:tcBorders>
              <w:top w:val="nil"/>
              <w:bottom w:val="nil"/>
            </w:tcBorders>
          </w:tcPr>
          <w:p w14:paraId="4F790B8E" w14:textId="77777777" w:rsidR="00AF2C5E" w:rsidRPr="00AF2C5E" w:rsidRDefault="00AF2C5E">
            <w:pPr>
              <w:pStyle w:val="T2"/>
              <w:keepNext/>
              <w:jc w:val="center"/>
              <w:rPr>
                <w:szCs w:val="24"/>
                <w:lang w:bidi="he-IL"/>
              </w:rPr>
            </w:pPr>
            <w:r w:rsidRPr="00AF2C5E">
              <w:rPr>
                <w:szCs w:val="24"/>
                <w:lang w:bidi="he-IL"/>
              </w:rPr>
              <w:t>399 (23.4%)</w:t>
            </w:r>
          </w:p>
        </w:tc>
      </w:tr>
      <w:tr w:rsidR="00AF2C5E" w:rsidRPr="00AF2C5E" w14:paraId="02C0B8B7" w14:textId="77777777">
        <w:trPr>
          <w:cantSplit/>
        </w:trPr>
        <w:tc>
          <w:tcPr>
            <w:tcW w:w="3351" w:type="dxa"/>
            <w:tcBorders>
              <w:top w:val="nil"/>
              <w:bottom w:val="nil"/>
            </w:tcBorders>
          </w:tcPr>
          <w:p w14:paraId="005AFE39" w14:textId="77777777" w:rsidR="00AF2C5E" w:rsidRPr="00AF2C5E" w:rsidRDefault="00AF2C5E">
            <w:pPr>
              <w:pStyle w:val="T2"/>
              <w:keepNext/>
              <w:numPr>
                <w:ilvl w:val="0"/>
                <w:numId w:val="20"/>
              </w:numPr>
              <w:tabs>
                <w:tab w:val="clear" w:pos="360"/>
              </w:tabs>
              <w:spacing w:before="0" w:after="0"/>
              <w:rPr>
                <w:szCs w:val="24"/>
                <w:lang w:bidi="he-IL"/>
              </w:rPr>
            </w:pPr>
            <w:r w:rsidRPr="00AF2C5E">
              <w:rPr>
                <w:noProof/>
                <w:szCs w:val="24"/>
                <w:lang w:bidi="he-IL"/>
              </w:rPr>
              <w:t>Number of patients without event</w:t>
            </w:r>
          </w:p>
        </w:tc>
        <w:tc>
          <w:tcPr>
            <w:tcW w:w="1426" w:type="dxa"/>
            <w:tcBorders>
              <w:top w:val="nil"/>
              <w:bottom w:val="nil"/>
            </w:tcBorders>
          </w:tcPr>
          <w:p w14:paraId="3DD76FCE" w14:textId="77777777" w:rsidR="00AF2C5E" w:rsidRPr="00AF2C5E" w:rsidRDefault="00AF2C5E">
            <w:pPr>
              <w:pStyle w:val="T2"/>
              <w:keepNext/>
              <w:jc w:val="center"/>
              <w:rPr>
                <w:szCs w:val="24"/>
                <w:lang w:bidi="he-IL"/>
              </w:rPr>
            </w:pPr>
            <w:r w:rsidRPr="00AF2C5E">
              <w:rPr>
                <w:szCs w:val="24"/>
                <w:lang w:bidi="he-IL"/>
              </w:rPr>
              <w:t>1485 (87.7%)</w:t>
            </w:r>
          </w:p>
        </w:tc>
        <w:tc>
          <w:tcPr>
            <w:tcW w:w="1426" w:type="dxa"/>
            <w:tcBorders>
              <w:top w:val="nil"/>
              <w:bottom w:val="nil"/>
            </w:tcBorders>
          </w:tcPr>
          <w:p w14:paraId="0CE8F3ED" w14:textId="77777777" w:rsidR="00AF2C5E" w:rsidRPr="00AF2C5E" w:rsidRDefault="00AF2C5E">
            <w:pPr>
              <w:pStyle w:val="T2"/>
              <w:keepNext/>
              <w:jc w:val="center"/>
              <w:rPr>
                <w:szCs w:val="24"/>
                <w:lang w:bidi="he-IL"/>
              </w:rPr>
            </w:pPr>
            <w:r w:rsidRPr="00AF2C5E">
              <w:rPr>
                <w:szCs w:val="24"/>
                <w:lang w:bidi="he-IL"/>
              </w:rPr>
              <w:t>1580 (93.3%)</w:t>
            </w:r>
          </w:p>
        </w:tc>
        <w:tc>
          <w:tcPr>
            <w:tcW w:w="1426" w:type="dxa"/>
            <w:tcBorders>
              <w:top w:val="nil"/>
              <w:bottom w:val="nil"/>
            </w:tcBorders>
          </w:tcPr>
          <w:p w14:paraId="5FE294E7" w14:textId="77777777" w:rsidR="00AF2C5E" w:rsidRPr="00AF2C5E" w:rsidRDefault="00AF2C5E">
            <w:pPr>
              <w:pStyle w:val="T2"/>
              <w:keepNext/>
              <w:jc w:val="center"/>
              <w:rPr>
                <w:szCs w:val="24"/>
                <w:lang w:bidi="he-IL"/>
              </w:rPr>
            </w:pPr>
            <w:r w:rsidRPr="00AF2C5E">
              <w:rPr>
                <w:szCs w:val="24"/>
                <w:lang w:bidi="he-IL"/>
              </w:rPr>
              <w:t>1191 (70.2%)</w:t>
            </w:r>
          </w:p>
        </w:tc>
        <w:tc>
          <w:tcPr>
            <w:tcW w:w="1426" w:type="dxa"/>
            <w:tcBorders>
              <w:top w:val="nil"/>
              <w:bottom w:val="nil"/>
            </w:tcBorders>
          </w:tcPr>
          <w:p w14:paraId="1277388A" w14:textId="77777777" w:rsidR="00AF2C5E" w:rsidRPr="00AF2C5E" w:rsidRDefault="00AF2C5E">
            <w:pPr>
              <w:pStyle w:val="T2"/>
              <w:keepNext/>
              <w:jc w:val="center"/>
              <w:rPr>
                <w:szCs w:val="24"/>
                <w:lang w:bidi="he-IL"/>
              </w:rPr>
            </w:pPr>
            <w:r w:rsidRPr="00AF2C5E">
              <w:rPr>
                <w:szCs w:val="24"/>
                <w:lang w:bidi="he-IL"/>
              </w:rPr>
              <w:t>1303 (76.6%)</w:t>
            </w:r>
          </w:p>
        </w:tc>
      </w:tr>
      <w:tr w:rsidR="00AF2C5E" w:rsidRPr="00AF2C5E" w14:paraId="3FC1FAED" w14:textId="77777777">
        <w:trPr>
          <w:cantSplit/>
        </w:trPr>
        <w:tc>
          <w:tcPr>
            <w:tcW w:w="3351" w:type="dxa"/>
            <w:tcBorders>
              <w:top w:val="nil"/>
              <w:bottom w:val="nil"/>
            </w:tcBorders>
          </w:tcPr>
          <w:p w14:paraId="367AE8E6" w14:textId="77777777" w:rsidR="00AF2C5E" w:rsidRPr="00AF2C5E" w:rsidRDefault="00AF2C5E">
            <w:pPr>
              <w:pStyle w:val="T2"/>
              <w:keepNext/>
              <w:rPr>
                <w:szCs w:val="24"/>
                <w:lang w:bidi="he-IL"/>
              </w:rPr>
            </w:pPr>
            <w:r w:rsidRPr="00AF2C5E">
              <w:rPr>
                <w:noProof/>
                <w:szCs w:val="24"/>
                <w:lang w:bidi="he-IL"/>
              </w:rPr>
              <w:t>p vs observation</w:t>
            </w:r>
          </w:p>
        </w:tc>
        <w:tc>
          <w:tcPr>
            <w:tcW w:w="2852" w:type="dxa"/>
            <w:gridSpan w:val="2"/>
            <w:tcBorders>
              <w:top w:val="nil"/>
              <w:bottom w:val="nil"/>
            </w:tcBorders>
          </w:tcPr>
          <w:p w14:paraId="24457DAD" w14:textId="77777777" w:rsidR="00AF2C5E" w:rsidRPr="00AF2C5E" w:rsidRDefault="00AF2C5E">
            <w:pPr>
              <w:pStyle w:val="T2"/>
              <w:keepNext/>
              <w:jc w:val="center"/>
              <w:rPr>
                <w:szCs w:val="24"/>
                <w:lang w:bidi="he-IL"/>
              </w:rPr>
            </w:pPr>
            <w:r w:rsidRPr="00AF2C5E">
              <w:rPr>
                <w:szCs w:val="24"/>
                <w:lang w:bidi="he-IL"/>
              </w:rPr>
              <w:t>&lt;0.0001</w:t>
            </w:r>
          </w:p>
        </w:tc>
        <w:tc>
          <w:tcPr>
            <w:tcW w:w="2852" w:type="dxa"/>
            <w:gridSpan w:val="2"/>
            <w:tcBorders>
              <w:top w:val="nil"/>
              <w:bottom w:val="nil"/>
            </w:tcBorders>
          </w:tcPr>
          <w:p w14:paraId="18F31038" w14:textId="77777777" w:rsidR="00AF2C5E" w:rsidRPr="00AF2C5E" w:rsidRDefault="00AF2C5E">
            <w:pPr>
              <w:pStyle w:val="T2"/>
              <w:keepNext/>
              <w:jc w:val="center"/>
              <w:rPr>
                <w:szCs w:val="24"/>
                <w:lang w:bidi="he-IL"/>
              </w:rPr>
            </w:pPr>
            <w:r w:rsidRPr="00AF2C5E">
              <w:rPr>
                <w:szCs w:val="24"/>
                <w:lang w:bidi="he-IL"/>
              </w:rPr>
              <w:t>&lt;0.0001</w:t>
            </w:r>
          </w:p>
        </w:tc>
      </w:tr>
      <w:tr w:rsidR="00AF2C5E" w:rsidRPr="00AF2C5E" w14:paraId="5F5E964F" w14:textId="77777777">
        <w:trPr>
          <w:cantSplit/>
        </w:trPr>
        <w:tc>
          <w:tcPr>
            <w:tcW w:w="3351" w:type="dxa"/>
            <w:tcBorders>
              <w:top w:val="nil"/>
            </w:tcBorders>
          </w:tcPr>
          <w:p w14:paraId="0FC433FC" w14:textId="77777777" w:rsidR="00AF2C5E" w:rsidRPr="00AF2C5E" w:rsidRDefault="00AF2C5E">
            <w:pPr>
              <w:pStyle w:val="T1b"/>
              <w:keepNext/>
              <w:rPr>
                <w:szCs w:val="24"/>
                <w:lang w:bidi="he-IL"/>
              </w:rPr>
            </w:pPr>
            <w:r w:rsidRPr="00AF2C5E">
              <w:rPr>
                <w:noProof/>
                <w:szCs w:val="24"/>
                <w:lang w:bidi="he-IL"/>
              </w:rPr>
              <w:t>Hazard ratio vs observation</w:t>
            </w:r>
          </w:p>
        </w:tc>
        <w:tc>
          <w:tcPr>
            <w:tcW w:w="2852" w:type="dxa"/>
            <w:gridSpan w:val="2"/>
            <w:tcBorders>
              <w:top w:val="nil"/>
            </w:tcBorders>
          </w:tcPr>
          <w:p w14:paraId="750B14DF" w14:textId="77777777" w:rsidR="00AF2C5E" w:rsidRPr="00AF2C5E" w:rsidRDefault="00AF2C5E">
            <w:pPr>
              <w:pStyle w:val="T1b"/>
              <w:keepNext/>
              <w:jc w:val="center"/>
              <w:rPr>
                <w:szCs w:val="24"/>
                <w:lang w:bidi="he-IL"/>
              </w:rPr>
            </w:pPr>
            <w:r w:rsidRPr="00AF2C5E">
              <w:rPr>
                <w:szCs w:val="24"/>
                <w:lang w:bidi="he-IL"/>
              </w:rPr>
              <w:t>0.51</w:t>
            </w:r>
          </w:p>
        </w:tc>
        <w:tc>
          <w:tcPr>
            <w:tcW w:w="2852" w:type="dxa"/>
            <w:gridSpan w:val="2"/>
            <w:tcBorders>
              <w:top w:val="nil"/>
            </w:tcBorders>
          </w:tcPr>
          <w:p w14:paraId="452CB668" w14:textId="77777777" w:rsidR="00AF2C5E" w:rsidRPr="00AF2C5E" w:rsidRDefault="00AF2C5E">
            <w:pPr>
              <w:pStyle w:val="T1b"/>
              <w:keepNext/>
              <w:jc w:val="center"/>
              <w:rPr>
                <w:szCs w:val="24"/>
                <w:lang w:bidi="he-IL"/>
              </w:rPr>
            </w:pPr>
            <w:r w:rsidRPr="00AF2C5E">
              <w:rPr>
                <w:szCs w:val="24"/>
                <w:lang w:bidi="he-IL"/>
              </w:rPr>
              <w:t>0.73</w:t>
            </w:r>
          </w:p>
        </w:tc>
      </w:tr>
      <w:tr w:rsidR="00AF2C5E" w:rsidRPr="00AF2C5E" w14:paraId="5C221ED7" w14:textId="77777777">
        <w:trPr>
          <w:cantSplit/>
        </w:trPr>
        <w:tc>
          <w:tcPr>
            <w:tcW w:w="3351" w:type="dxa"/>
            <w:tcBorders>
              <w:bottom w:val="nil"/>
            </w:tcBorders>
          </w:tcPr>
          <w:p w14:paraId="4AB94F6E" w14:textId="77777777" w:rsidR="00AF2C5E" w:rsidRPr="00AF2C5E" w:rsidRDefault="00AF2C5E">
            <w:pPr>
              <w:pStyle w:val="T1a"/>
              <w:keepNext/>
              <w:rPr>
                <w:szCs w:val="24"/>
                <w:lang w:bidi="he-IL"/>
              </w:rPr>
            </w:pPr>
            <w:r w:rsidRPr="00AF2C5E">
              <w:rPr>
                <w:noProof/>
                <w:szCs w:val="24"/>
                <w:lang w:bidi="he-IL"/>
              </w:rPr>
              <w:t>Distant disease-free survival</w:t>
            </w:r>
          </w:p>
        </w:tc>
        <w:tc>
          <w:tcPr>
            <w:tcW w:w="1426" w:type="dxa"/>
            <w:tcBorders>
              <w:bottom w:val="nil"/>
            </w:tcBorders>
          </w:tcPr>
          <w:p w14:paraId="42291D08" w14:textId="77777777" w:rsidR="00AF2C5E" w:rsidRPr="00AF2C5E" w:rsidRDefault="00AF2C5E">
            <w:pPr>
              <w:pStyle w:val="T1a"/>
              <w:keepNext/>
              <w:jc w:val="center"/>
              <w:rPr>
                <w:szCs w:val="24"/>
                <w:lang w:bidi="he-IL"/>
              </w:rPr>
            </w:pPr>
          </w:p>
        </w:tc>
        <w:tc>
          <w:tcPr>
            <w:tcW w:w="1426" w:type="dxa"/>
            <w:tcBorders>
              <w:bottom w:val="nil"/>
            </w:tcBorders>
          </w:tcPr>
          <w:p w14:paraId="3E4B8F3A" w14:textId="77777777" w:rsidR="00AF2C5E" w:rsidRPr="00AF2C5E" w:rsidRDefault="00AF2C5E">
            <w:pPr>
              <w:pStyle w:val="T1a"/>
              <w:keepNext/>
              <w:jc w:val="center"/>
              <w:rPr>
                <w:szCs w:val="24"/>
                <w:lang w:bidi="he-IL"/>
              </w:rPr>
            </w:pPr>
          </w:p>
        </w:tc>
        <w:tc>
          <w:tcPr>
            <w:tcW w:w="1426" w:type="dxa"/>
            <w:tcBorders>
              <w:bottom w:val="nil"/>
            </w:tcBorders>
          </w:tcPr>
          <w:p w14:paraId="73C27D4F" w14:textId="77777777" w:rsidR="00AF2C5E" w:rsidRPr="00AF2C5E" w:rsidRDefault="00AF2C5E">
            <w:pPr>
              <w:pStyle w:val="T1a"/>
              <w:keepNext/>
              <w:jc w:val="center"/>
              <w:rPr>
                <w:szCs w:val="24"/>
                <w:lang w:bidi="he-IL"/>
              </w:rPr>
            </w:pPr>
          </w:p>
        </w:tc>
        <w:tc>
          <w:tcPr>
            <w:tcW w:w="1426" w:type="dxa"/>
            <w:tcBorders>
              <w:bottom w:val="nil"/>
            </w:tcBorders>
          </w:tcPr>
          <w:p w14:paraId="074E265B" w14:textId="77777777" w:rsidR="00AF2C5E" w:rsidRPr="00AF2C5E" w:rsidRDefault="00AF2C5E">
            <w:pPr>
              <w:pStyle w:val="T1a"/>
              <w:keepNext/>
              <w:jc w:val="center"/>
              <w:rPr>
                <w:szCs w:val="24"/>
                <w:lang w:bidi="he-IL"/>
              </w:rPr>
            </w:pPr>
          </w:p>
        </w:tc>
      </w:tr>
      <w:tr w:rsidR="00AF2C5E" w:rsidRPr="00AF2C5E" w14:paraId="05DBDDE4" w14:textId="77777777">
        <w:trPr>
          <w:cantSplit/>
        </w:trPr>
        <w:tc>
          <w:tcPr>
            <w:tcW w:w="3351" w:type="dxa"/>
            <w:tcBorders>
              <w:top w:val="nil"/>
              <w:bottom w:val="nil"/>
            </w:tcBorders>
          </w:tcPr>
          <w:p w14:paraId="2405F746" w14:textId="77777777" w:rsidR="00AF2C5E" w:rsidRPr="00AF2C5E" w:rsidRDefault="00AF2C5E">
            <w:pPr>
              <w:pStyle w:val="T2"/>
              <w:keepNext/>
              <w:numPr>
                <w:ilvl w:val="0"/>
                <w:numId w:val="22"/>
              </w:numPr>
              <w:tabs>
                <w:tab w:val="clear" w:pos="360"/>
              </w:tabs>
              <w:spacing w:before="0" w:after="0"/>
              <w:rPr>
                <w:szCs w:val="24"/>
                <w:lang w:bidi="he-IL"/>
              </w:rPr>
            </w:pPr>
            <w:r w:rsidRPr="00AF2C5E">
              <w:rPr>
                <w:noProof/>
                <w:szCs w:val="24"/>
                <w:lang w:bidi="he-IL"/>
              </w:rPr>
              <w:t>Number of patients with event</w:t>
            </w:r>
          </w:p>
        </w:tc>
        <w:tc>
          <w:tcPr>
            <w:tcW w:w="1426" w:type="dxa"/>
            <w:tcBorders>
              <w:top w:val="nil"/>
              <w:bottom w:val="nil"/>
            </w:tcBorders>
          </w:tcPr>
          <w:p w14:paraId="13EBF1C1" w14:textId="77777777" w:rsidR="00AF2C5E" w:rsidRPr="00AF2C5E" w:rsidRDefault="00AF2C5E">
            <w:pPr>
              <w:pStyle w:val="T2"/>
              <w:keepNext/>
              <w:jc w:val="center"/>
              <w:rPr>
                <w:szCs w:val="24"/>
                <w:lang w:bidi="he-IL"/>
              </w:rPr>
            </w:pPr>
            <w:r w:rsidRPr="00AF2C5E">
              <w:rPr>
                <w:szCs w:val="24"/>
                <w:lang w:bidi="he-IL"/>
              </w:rPr>
              <w:t>184 (10.9%)</w:t>
            </w:r>
          </w:p>
        </w:tc>
        <w:tc>
          <w:tcPr>
            <w:tcW w:w="1426" w:type="dxa"/>
            <w:tcBorders>
              <w:top w:val="nil"/>
              <w:bottom w:val="nil"/>
            </w:tcBorders>
          </w:tcPr>
          <w:p w14:paraId="5DA62ADD" w14:textId="77777777" w:rsidR="00AF2C5E" w:rsidRPr="00AF2C5E" w:rsidRDefault="00AF2C5E">
            <w:pPr>
              <w:pStyle w:val="T2"/>
              <w:keepNext/>
              <w:jc w:val="center"/>
              <w:rPr>
                <w:szCs w:val="24"/>
                <w:lang w:bidi="he-IL"/>
              </w:rPr>
            </w:pPr>
            <w:r w:rsidRPr="00AF2C5E">
              <w:rPr>
                <w:szCs w:val="24"/>
                <w:lang w:bidi="he-IL"/>
              </w:rPr>
              <w:t>99 (5.8%)</w:t>
            </w:r>
          </w:p>
        </w:tc>
        <w:tc>
          <w:tcPr>
            <w:tcW w:w="1426" w:type="dxa"/>
            <w:tcBorders>
              <w:top w:val="nil"/>
              <w:bottom w:val="nil"/>
            </w:tcBorders>
          </w:tcPr>
          <w:p w14:paraId="4AC75180" w14:textId="77777777" w:rsidR="00AF2C5E" w:rsidRPr="00AF2C5E" w:rsidRDefault="00AF2C5E">
            <w:pPr>
              <w:pStyle w:val="T2"/>
              <w:keepNext/>
              <w:jc w:val="center"/>
              <w:rPr>
                <w:szCs w:val="24"/>
                <w:lang w:bidi="he-IL"/>
              </w:rPr>
            </w:pPr>
            <w:r w:rsidRPr="00AF2C5E">
              <w:rPr>
                <w:szCs w:val="24"/>
                <w:lang w:bidi="he-IL"/>
              </w:rPr>
              <w:t>488 (28.8%)</w:t>
            </w:r>
          </w:p>
        </w:tc>
        <w:tc>
          <w:tcPr>
            <w:tcW w:w="1426" w:type="dxa"/>
            <w:tcBorders>
              <w:top w:val="nil"/>
              <w:bottom w:val="nil"/>
            </w:tcBorders>
          </w:tcPr>
          <w:p w14:paraId="5B8E86F2" w14:textId="77777777" w:rsidR="00AF2C5E" w:rsidRPr="00AF2C5E" w:rsidRDefault="00AF2C5E">
            <w:pPr>
              <w:pStyle w:val="T2"/>
              <w:keepNext/>
              <w:jc w:val="center"/>
              <w:rPr>
                <w:szCs w:val="24"/>
                <w:lang w:bidi="he-IL"/>
              </w:rPr>
            </w:pPr>
            <w:r w:rsidRPr="00AF2C5E">
              <w:rPr>
                <w:szCs w:val="24"/>
                <w:lang w:bidi="he-IL"/>
              </w:rPr>
              <w:t>399 (23.4%)</w:t>
            </w:r>
          </w:p>
        </w:tc>
      </w:tr>
      <w:tr w:rsidR="00AF2C5E" w:rsidRPr="00AF2C5E" w14:paraId="54B96379" w14:textId="77777777">
        <w:trPr>
          <w:cantSplit/>
        </w:trPr>
        <w:tc>
          <w:tcPr>
            <w:tcW w:w="3351" w:type="dxa"/>
            <w:tcBorders>
              <w:top w:val="nil"/>
              <w:bottom w:val="nil"/>
            </w:tcBorders>
          </w:tcPr>
          <w:p w14:paraId="5EDC1D7D" w14:textId="77777777" w:rsidR="00AF2C5E" w:rsidRPr="00AF2C5E" w:rsidRDefault="00AF2C5E">
            <w:pPr>
              <w:pStyle w:val="T2"/>
              <w:keepNext/>
              <w:numPr>
                <w:ilvl w:val="0"/>
                <w:numId w:val="21"/>
              </w:numPr>
              <w:tabs>
                <w:tab w:val="clear" w:pos="360"/>
              </w:tabs>
              <w:spacing w:before="0" w:after="0"/>
              <w:rPr>
                <w:szCs w:val="24"/>
                <w:lang w:bidi="he-IL"/>
              </w:rPr>
            </w:pPr>
            <w:r w:rsidRPr="00AF2C5E">
              <w:rPr>
                <w:noProof/>
                <w:szCs w:val="24"/>
                <w:lang w:bidi="he-IL"/>
              </w:rPr>
              <w:t>Number of patients without event</w:t>
            </w:r>
          </w:p>
        </w:tc>
        <w:tc>
          <w:tcPr>
            <w:tcW w:w="1426" w:type="dxa"/>
            <w:tcBorders>
              <w:top w:val="nil"/>
              <w:bottom w:val="nil"/>
            </w:tcBorders>
          </w:tcPr>
          <w:p w14:paraId="3D641DF3" w14:textId="77777777" w:rsidR="00AF2C5E" w:rsidRPr="00AF2C5E" w:rsidRDefault="00AF2C5E">
            <w:pPr>
              <w:pStyle w:val="T2"/>
              <w:keepNext/>
              <w:jc w:val="center"/>
              <w:rPr>
                <w:szCs w:val="24"/>
                <w:lang w:bidi="he-IL"/>
              </w:rPr>
            </w:pPr>
            <w:r w:rsidRPr="00AF2C5E">
              <w:rPr>
                <w:szCs w:val="24"/>
                <w:lang w:bidi="he-IL"/>
              </w:rPr>
              <w:t>1508 (89.1%)</w:t>
            </w:r>
          </w:p>
        </w:tc>
        <w:tc>
          <w:tcPr>
            <w:tcW w:w="1426" w:type="dxa"/>
            <w:tcBorders>
              <w:top w:val="nil"/>
              <w:bottom w:val="nil"/>
            </w:tcBorders>
          </w:tcPr>
          <w:p w14:paraId="44DDCF70" w14:textId="77777777" w:rsidR="00AF2C5E" w:rsidRPr="00AF2C5E" w:rsidRDefault="00AF2C5E">
            <w:pPr>
              <w:pStyle w:val="T2"/>
              <w:keepNext/>
              <w:jc w:val="center"/>
              <w:rPr>
                <w:szCs w:val="24"/>
                <w:lang w:bidi="he-IL"/>
              </w:rPr>
            </w:pPr>
            <w:r w:rsidRPr="00AF2C5E">
              <w:rPr>
                <w:szCs w:val="24"/>
                <w:lang w:bidi="he-IL"/>
              </w:rPr>
              <w:t>1594 (94.6%)</w:t>
            </w:r>
          </w:p>
        </w:tc>
        <w:tc>
          <w:tcPr>
            <w:tcW w:w="1426" w:type="dxa"/>
            <w:tcBorders>
              <w:top w:val="nil"/>
              <w:bottom w:val="nil"/>
            </w:tcBorders>
          </w:tcPr>
          <w:p w14:paraId="0C6BE591" w14:textId="77777777" w:rsidR="00AF2C5E" w:rsidRPr="00AF2C5E" w:rsidRDefault="00AF2C5E">
            <w:pPr>
              <w:pStyle w:val="T2"/>
              <w:keepNext/>
              <w:jc w:val="center"/>
              <w:rPr>
                <w:szCs w:val="24"/>
                <w:lang w:bidi="he-IL"/>
              </w:rPr>
            </w:pPr>
            <w:r w:rsidRPr="00AF2C5E">
              <w:rPr>
                <w:szCs w:val="24"/>
                <w:lang w:bidi="he-IL"/>
              </w:rPr>
              <w:t>1209 (71.2%)</w:t>
            </w:r>
          </w:p>
        </w:tc>
        <w:tc>
          <w:tcPr>
            <w:tcW w:w="1426" w:type="dxa"/>
            <w:tcBorders>
              <w:top w:val="nil"/>
              <w:bottom w:val="nil"/>
            </w:tcBorders>
          </w:tcPr>
          <w:p w14:paraId="2252920B" w14:textId="77777777" w:rsidR="00AF2C5E" w:rsidRPr="00AF2C5E" w:rsidRDefault="00AF2C5E">
            <w:pPr>
              <w:pStyle w:val="T2"/>
              <w:keepNext/>
              <w:jc w:val="center"/>
              <w:rPr>
                <w:szCs w:val="24"/>
                <w:lang w:bidi="he-IL"/>
              </w:rPr>
            </w:pPr>
            <w:r w:rsidRPr="00AF2C5E">
              <w:rPr>
                <w:szCs w:val="24"/>
                <w:lang w:bidi="he-IL"/>
              </w:rPr>
              <w:t>1303 (76.6%)</w:t>
            </w:r>
          </w:p>
        </w:tc>
      </w:tr>
      <w:tr w:rsidR="00AF2C5E" w:rsidRPr="00AF2C5E" w14:paraId="6654337B" w14:textId="77777777">
        <w:trPr>
          <w:cantSplit/>
        </w:trPr>
        <w:tc>
          <w:tcPr>
            <w:tcW w:w="3351" w:type="dxa"/>
            <w:tcBorders>
              <w:top w:val="nil"/>
              <w:bottom w:val="nil"/>
            </w:tcBorders>
          </w:tcPr>
          <w:p w14:paraId="6729EAA0" w14:textId="77777777" w:rsidR="00AF2C5E" w:rsidRPr="00AF2C5E" w:rsidRDefault="00AF2C5E">
            <w:pPr>
              <w:pStyle w:val="T2"/>
              <w:keepNext/>
              <w:rPr>
                <w:szCs w:val="24"/>
                <w:lang w:bidi="he-IL"/>
              </w:rPr>
            </w:pPr>
            <w:r w:rsidRPr="00AF2C5E">
              <w:rPr>
                <w:noProof/>
                <w:szCs w:val="24"/>
                <w:lang w:bidi="he-IL"/>
              </w:rPr>
              <w:t>p vs observation</w:t>
            </w:r>
          </w:p>
        </w:tc>
        <w:tc>
          <w:tcPr>
            <w:tcW w:w="2852" w:type="dxa"/>
            <w:gridSpan w:val="2"/>
            <w:tcBorders>
              <w:top w:val="nil"/>
              <w:bottom w:val="nil"/>
            </w:tcBorders>
          </w:tcPr>
          <w:p w14:paraId="4E1AFBE1" w14:textId="77777777" w:rsidR="00AF2C5E" w:rsidRPr="00AF2C5E" w:rsidRDefault="00AF2C5E">
            <w:pPr>
              <w:pStyle w:val="T2"/>
              <w:keepNext/>
              <w:jc w:val="center"/>
              <w:rPr>
                <w:szCs w:val="24"/>
                <w:lang w:bidi="he-IL"/>
              </w:rPr>
            </w:pPr>
            <w:r w:rsidRPr="00AF2C5E">
              <w:rPr>
                <w:szCs w:val="24"/>
                <w:lang w:bidi="he-IL"/>
              </w:rPr>
              <w:t>&lt;0.0001</w:t>
            </w:r>
          </w:p>
        </w:tc>
        <w:tc>
          <w:tcPr>
            <w:tcW w:w="2852" w:type="dxa"/>
            <w:gridSpan w:val="2"/>
            <w:tcBorders>
              <w:top w:val="nil"/>
              <w:bottom w:val="nil"/>
            </w:tcBorders>
          </w:tcPr>
          <w:p w14:paraId="7C3DB4F6" w14:textId="77777777" w:rsidR="00AF2C5E" w:rsidRPr="00AF2C5E" w:rsidRDefault="00AF2C5E">
            <w:pPr>
              <w:pStyle w:val="T2"/>
              <w:keepNext/>
              <w:jc w:val="center"/>
              <w:rPr>
                <w:szCs w:val="24"/>
                <w:lang w:bidi="he-IL"/>
              </w:rPr>
            </w:pPr>
            <w:r w:rsidRPr="00AF2C5E">
              <w:rPr>
                <w:szCs w:val="24"/>
                <w:lang w:bidi="he-IL"/>
              </w:rPr>
              <w:t>&lt;0.0001</w:t>
            </w:r>
          </w:p>
        </w:tc>
      </w:tr>
      <w:tr w:rsidR="00AF2C5E" w:rsidRPr="00AF2C5E" w14:paraId="61EDBBB9" w14:textId="77777777">
        <w:trPr>
          <w:cantSplit/>
        </w:trPr>
        <w:tc>
          <w:tcPr>
            <w:tcW w:w="3351" w:type="dxa"/>
            <w:tcBorders>
              <w:top w:val="nil"/>
            </w:tcBorders>
          </w:tcPr>
          <w:p w14:paraId="4747E819" w14:textId="77777777" w:rsidR="00AF2C5E" w:rsidRPr="00AF2C5E" w:rsidRDefault="00AF2C5E">
            <w:pPr>
              <w:pStyle w:val="T1b"/>
              <w:keepNext/>
              <w:rPr>
                <w:szCs w:val="24"/>
                <w:lang w:bidi="he-IL"/>
              </w:rPr>
            </w:pPr>
            <w:r w:rsidRPr="00AF2C5E">
              <w:rPr>
                <w:noProof/>
                <w:szCs w:val="24"/>
                <w:lang w:bidi="he-IL"/>
              </w:rPr>
              <w:t>Hazard ratio vs observation</w:t>
            </w:r>
          </w:p>
        </w:tc>
        <w:tc>
          <w:tcPr>
            <w:tcW w:w="2852" w:type="dxa"/>
            <w:gridSpan w:val="2"/>
            <w:tcBorders>
              <w:top w:val="nil"/>
            </w:tcBorders>
          </w:tcPr>
          <w:p w14:paraId="2C9FEEEF" w14:textId="77777777" w:rsidR="00AF2C5E" w:rsidRPr="00AF2C5E" w:rsidRDefault="00AF2C5E">
            <w:pPr>
              <w:pStyle w:val="T1b"/>
              <w:keepNext/>
              <w:jc w:val="center"/>
              <w:rPr>
                <w:szCs w:val="24"/>
                <w:lang w:bidi="he-IL"/>
              </w:rPr>
            </w:pPr>
            <w:r w:rsidRPr="00AF2C5E">
              <w:rPr>
                <w:szCs w:val="24"/>
                <w:lang w:bidi="he-IL"/>
              </w:rPr>
              <w:t>0.50</w:t>
            </w:r>
          </w:p>
        </w:tc>
        <w:tc>
          <w:tcPr>
            <w:tcW w:w="2852" w:type="dxa"/>
            <w:gridSpan w:val="2"/>
            <w:tcBorders>
              <w:top w:val="nil"/>
            </w:tcBorders>
          </w:tcPr>
          <w:p w14:paraId="0E9E173A" w14:textId="77777777" w:rsidR="00AF2C5E" w:rsidRPr="00AF2C5E" w:rsidRDefault="00AF2C5E">
            <w:pPr>
              <w:pStyle w:val="T1b"/>
              <w:keepNext/>
              <w:jc w:val="center"/>
              <w:rPr>
                <w:szCs w:val="24"/>
                <w:lang w:bidi="he-IL"/>
              </w:rPr>
            </w:pPr>
            <w:r w:rsidRPr="00AF2C5E">
              <w:rPr>
                <w:szCs w:val="24"/>
                <w:lang w:bidi="he-IL"/>
              </w:rPr>
              <w:t>0.76</w:t>
            </w:r>
          </w:p>
        </w:tc>
      </w:tr>
      <w:tr w:rsidR="00AF2C5E" w:rsidRPr="00AF2C5E" w14:paraId="6B253F56" w14:textId="77777777">
        <w:trPr>
          <w:cantSplit/>
        </w:trPr>
        <w:tc>
          <w:tcPr>
            <w:tcW w:w="3351" w:type="dxa"/>
            <w:tcBorders>
              <w:bottom w:val="nil"/>
            </w:tcBorders>
          </w:tcPr>
          <w:p w14:paraId="78479620" w14:textId="77777777" w:rsidR="00AF2C5E" w:rsidRPr="00AF2C5E" w:rsidRDefault="00AF2C5E">
            <w:pPr>
              <w:pStyle w:val="T1a"/>
              <w:keepNext/>
              <w:rPr>
                <w:szCs w:val="24"/>
                <w:lang w:bidi="he-IL"/>
              </w:rPr>
            </w:pPr>
            <w:r w:rsidRPr="00AF2C5E">
              <w:rPr>
                <w:noProof/>
                <w:szCs w:val="24"/>
                <w:lang w:bidi="he-IL"/>
              </w:rPr>
              <w:t>Overall survival (death)</w:t>
            </w:r>
          </w:p>
        </w:tc>
        <w:tc>
          <w:tcPr>
            <w:tcW w:w="1426" w:type="dxa"/>
            <w:tcBorders>
              <w:bottom w:val="nil"/>
            </w:tcBorders>
          </w:tcPr>
          <w:p w14:paraId="6D57355F" w14:textId="77777777" w:rsidR="00AF2C5E" w:rsidRPr="00AF2C5E" w:rsidRDefault="00AF2C5E">
            <w:pPr>
              <w:pStyle w:val="T1a"/>
              <w:keepNext/>
              <w:jc w:val="center"/>
              <w:rPr>
                <w:szCs w:val="24"/>
                <w:lang w:bidi="he-IL"/>
              </w:rPr>
            </w:pPr>
          </w:p>
        </w:tc>
        <w:tc>
          <w:tcPr>
            <w:tcW w:w="1426" w:type="dxa"/>
            <w:tcBorders>
              <w:bottom w:val="nil"/>
            </w:tcBorders>
          </w:tcPr>
          <w:p w14:paraId="45A75F25" w14:textId="77777777" w:rsidR="00AF2C5E" w:rsidRPr="00AF2C5E" w:rsidRDefault="00AF2C5E">
            <w:pPr>
              <w:pStyle w:val="T1a"/>
              <w:keepNext/>
              <w:jc w:val="center"/>
              <w:rPr>
                <w:szCs w:val="24"/>
                <w:lang w:bidi="he-IL"/>
              </w:rPr>
            </w:pPr>
          </w:p>
        </w:tc>
        <w:tc>
          <w:tcPr>
            <w:tcW w:w="1426" w:type="dxa"/>
            <w:tcBorders>
              <w:bottom w:val="nil"/>
            </w:tcBorders>
          </w:tcPr>
          <w:p w14:paraId="40F9DBFE" w14:textId="77777777" w:rsidR="00AF2C5E" w:rsidRPr="00AF2C5E" w:rsidRDefault="00AF2C5E">
            <w:pPr>
              <w:pStyle w:val="T1a"/>
              <w:keepNext/>
              <w:jc w:val="center"/>
              <w:rPr>
                <w:szCs w:val="24"/>
                <w:lang w:bidi="he-IL"/>
              </w:rPr>
            </w:pPr>
          </w:p>
        </w:tc>
        <w:tc>
          <w:tcPr>
            <w:tcW w:w="1426" w:type="dxa"/>
            <w:tcBorders>
              <w:bottom w:val="nil"/>
            </w:tcBorders>
          </w:tcPr>
          <w:p w14:paraId="4C797909" w14:textId="77777777" w:rsidR="00AF2C5E" w:rsidRPr="00AF2C5E" w:rsidRDefault="00AF2C5E">
            <w:pPr>
              <w:pStyle w:val="T1a"/>
              <w:keepNext/>
              <w:jc w:val="center"/>
              <w:rPr>
                <w:szCs w:val="24"/>
                <w:lang w:bidi="he-IL"/>
              </w:rPr>
            </w:pPr>
          </w:p>
        </w:tc>
      </w:tr>
      <w:tr w:rsidR="00AF2C5E" w:rsidRPr="00AF2C5E" w14:paraId="04B762DE" w14:textId="77777777">
        <w:trPr>
          <w:cantSplit/>
        </w:trPr>
        <w:tc>
          <w:tcPr>
            <w:tcW w:w="3351" w:type="dxa"/>
            <w:tcBorders>
              <w:top w:val="nil"/>
              <w:bottom w:val="nil"/>
            </w:tcBorders>
          </w:tcPr>
          <w:p w14:paraId="0EFBA3C2" w14:textId="77777777" w:rsidR="00AF2C5E" w:rsidRPr="00AF2C5E" w:rsidRDefault="00AF2C5E">
            <w:pPr>
              <w:pStyle w:val="T2"/>
              <w:keepNext/>
              <w:numPr>
                <w:ilvl w:val="0"/>
                <w:numId w:val="23"/>
              </w:numPr>
              <w:tabs>
                <w:tab w:val="clear" w:pos="360"/>
              </w:tabs>
              <w:spacing w:before="0" w:after="0"/>
              <w:rPr>
                <w:szCs w:val="24"/>
                <w:lang w:bidi="he-IL"/>
              </w:rPr>
            </w:pPr>
            <w:r w:rsidRPr="00AF2C5E">
              <w:rPr>
                <w:noProof/>
                <w:szCs w:val="24"/>
                <w:lang w:bidi="he-IL"/>
              </w:rPr>
              <w:t>Number of patients with event</w:t>
            </w:r>
          </w:p>
        </w:tc>
        <w:tc>
          <w:tcPr>
            <w:tcW w:w="1426" w:type="dxa"/>
            <w:tcBorders>
              <w:top w:val="nil"/>
              <w:bottom w:val="nil"/>
            </w:tcBorders>
          </w:tcPr>
          <w:p w14:paraId="66C5F0F6" w14:textId="77777777" w:rsidR="00AF2C5E" w:rsidRPr="00AF2C5E" w:rsidRDefault="00AF2C5E">
            <w:pPr>
              <w:pStyle w:val="T2"/>
              <w:keepNext/>
              <w:jc w:val="center"/>
              <w:rPr>
                <w:szCs w:val="24"/>
                <w:lang w:bidi="he-IL"/>
              </w:rPr>
            </w:pPr>
            <w:r w:rsidRPr="00AF2C5E">
              <w:rPr>
                <w:szCs w:val="24"/>
                <w:lang w:bidi="he-IL"/>
              </w:rPr>
              <w:t>40 (2.4%)</w:t>
            </w:r>
          </w:p>
        </w:tc>
        <w:tc>
          <w:tcPr>
            <w:tcW w:w="1426" w:type="dxa"/>
            <w:tcBorders>
              <w:top w:val="nil"/>
              <w:bottom w:val="nil"/>
            </w:tcBorders>
          </w:tcPr>
          <w:p w14:paraId="52BA0301" w14:textId="77777777" w:rsidR="00AF2C5E" w:rsidRPr="00AF2C5E" w:rsidRDefault="00AF2C5E">
            <w:pPr>
              <w:pStyle w:val="T2"/>
              <w:keepNext/>
              <w:jc w:val="center"/>
              <w:rPr>
                <w:szCs w:val="24"/>
                <w:lang w:bidi="he-IL"/>
              </w:rPr>
            </w:pPr>
            <w:r w:rsidRPr="00AF2C5E">
              <w:rPr>
                <w:szCs w:val="24"/>
                <w:lang w:bidi="he-IL"/>
              </w:rPr>
              <w:t>31 (1.8%)</w:t>
            </w:r>
          </w:p>
        </w:tc>
        <w:tc>
          <w:tcPr>
            <w:tcW w:w="1426" w:type="dxa"/>
            <w:tcBorders>
              <w:top w:val="nil"/>
              <w:bottom w:val="nil"/>
            </w:tcBorders>
          </w:tcPr>
          <w:p w14:paraId="45121DF2" w14:textId="77777777" w:rsidR="00AF2C5E" w:rsidRPr="00AF2C5E" w:rsidRDefault="00AF2C5E">
            <w:pPr>
              <w:pStyle w:val="T2"/>
              <w:keepNext/>
              <w:jc w:val="center"/>
              <w:rPr>
                <w:szCs w:val="24"/>
                <w:lang w:bidi="he-IL"/>
              </w:rPr>
            </w:pPr>
            <w:r w:rsidRPr="00AF2C5E">
              <w:rPr>
                <w:szCs w:val="24"/>
                <w:lang w:bidi="he-IL"/>
              </w:rPr>
              <w:t>350 (20.6%)</w:t>
            </w:r>
          </w:p>
        </w:tc>
        <w:tc>
          <w:tcPr>
            <w:tcW w:w="1426" w:type="dxa"/>
            <w:tcBorders>
              <w:top w:val="nil"/>
              <w:bottom w:val="nil"/>
            </w:tcBorders>
          </w:tcPr>
          <w:p w14:paraId="6313ABEC" w14:textId="77777777" w:rsidR="00AF2C5E" w:rsidRPr="00AF2C5E" w:rsidRDefault="00AF2C5E">
            <w:pPr>
              <w:pStyle w:val="T2"/>
              <w:keepNext/>
              <w:jc w:val="center"/>
              <w:rPr>
                <w:szCs w:val="24"/>
                <w:lang w:bidi="he-IL"/>
              </w:rPr>
            </w:pPr>
            <w:r w:rsidRPr="00AF2C5E">
              <w:rPr>
                <w:szCs w:val="24"/>
                <w:lang w:bidi="he-IL"/>
              </w:rPr>
              <w:t>278 (16.3%)</w:t>
            </w:r>
          </w:p>
        </w:tc>
      </w:tr>
      <w:tr w:rsidR="00AF2C5E" w:rsidRPr="00AF2C5E" w14:paraId="1175141D" w14:textId="77777777">
        <w:trPr>
          <w:cantSplit/>
        </w:trPr>
        <w:tc>
          <w:tcPr>
            <w:tcW w:w="3351" w:type="dxa"/>
            <w:tcBorders>
              <w:top w:val="nil"/>
              <w:bottom w:val="nil"/>
            </w:tcBorders>
          </w:tcPr>
          <w:p w14:paraId="0A5881DE" w14:textId="77777777" w:rsidR="00AF2C5E" w:rsidRPr="00AF2C5E" w:rsidRDefault="00AF2C5E">
            <w:pPr>
              <w:pStyle w:val="T2"/>
              <w:keepNext/>
              <w:numPr>
                <w:ilvl w:val="0"/>
                <w:numId w:val="23"/>
              </w:numPr>
              <w:tabs>
                <w:tab w:val="clear" w:pos="360"/>
              </w:tabs>
              <w:spacing w:before="0" w:after="0"/>
              <w:rPr>
                <w:szCs w:val="24"/>
                <w:lang w:bidi="he-IL"/>
              </w:rPr>
            </w:pPr>
            <w:r w:rsidRPr="00AF2C5E">
              <w:rPr>
                <w:noProof/>
                <w:szCs w:val="24"/>
                <w:lang w:bidi="he-IL"/>
              </w:rPr>
              <w:t>Number of patients without event</w:t>
            </w:r>
          </w:p>
        </w:tc>
        <w:tc>
          <w:tcPr>
            <w:tcW w:w="1426" w:type="dxa"/>
            <w:tcBorders>
              <w:top w:val="nil"/>
              <w:bottom w:val="nil"/>
            </w:tcBorders>
          </w:tcPr>
          <w:p w14:paraId="007AE35D" w14:textId="77777777" w:rsidR="00AF2C5E" w:rsidRPr="00AF2C5E" w:rsidRDefault="00AF2C5E">
            <w:pPr>
              <w:pStyle w:val="T2"/>
              <w:keepNext/>
              <w:jc w:val="center"/>
              <w:rPr>
                <w:szCs w:val="24"/>
                <w:lang w:bidi="he-IL"/>
              </w:rPr>
            </w:pPr>
            <w:r w:rsidRPr="00AF2C5E">
              <w:rPr>
                <w:szCs w:val="24"/>
                <w:lang w:bidi="he-IL"/>
              </w:rPr>
              <w:t>1653 (97.65%)</w:t>
            </w:r>
          </w:p>
        </w:tc>
        <w:tc>
          <w:tcPr>
            <w:tcW w:w="1426" w:type="dxa"/>
            <w:tcBorders>
              <w:top w:val="nil"/>
              <w:bottom w:val="nil"/>
            </w:tcBorders>
          </w:tcPr>
          <w:p w14:paraId="057125BB" w14:textId="77777777" w:rsidR="00AF2C5E" w:rsidRPr="00AF2C5E" w:rsidRDefault="00AF2C5E">
            <w:pPr>
              <w:pStyle w:val="T2"/>
              <w:keepNext/>
              <w:jc w:val="center"/>
              <w:rPr>
                <w:szCs w:val="24"/>
                <w:lang w:bidi="he-IL"/>
              </w:rPr>
            </w:pPr>
            <w:r w:rsidRPr="00AF2C5E">
              <w:rPr>
                <w:szCs w:val="24"/>
                <w:lang w:bidi="he-IL"/>
              </w:rPr>
              <w:t>1662 (98.2%)</w:t>
            </w:r>
          </w:p>
        </w:tc>
        <w:tc>
          <w:tcPr>
            <w:tcW w:w="1426" w:type="dxa"/>
            <w:tcBorders>
              <w:top w:val="nil"/>
              <w:bottom w:val="nil"/>
            </w:tcBorders>
          </w:tcPr>
          <w:p w14:paraId="60C11A39" w14:textId="77777777" w:rsidR="00AF2C5E" w:rsidRPr="00AF2C5E" w:rsidRDefault="00AF2C5E">
            <w:pPr>
              <w:pStyle w:val="T2"/>
              <w:keepNext/>
              <w:jc w:val="center"/>
              <w:rPr>
                <w:szCs w:val="24"/>
                <w:lang w:bidi="he-IL"/>
              </w:rPr>
            </w:pPr>
            <w:r w:rsidRPr="00AF2C5E">
              <w:rPr>
                <w:szCs w:val="24"/>
                <w:lang w:bidi="he-IL"/>
              </w:rPr>
              <w:t>1347 (79.4%)</w:t>
            </w:r>
          </w:p>
        </w:tc>
        <w:tc>
          <w:tcPr>
            <w:tcW w:w="1426" w:type="dxa"/>
            <w:tcBorders>
              <w:top w:val="nil"/>
              <w:bottom w:val="nil"/>
            </w:tcBorders>
          </w:tcPr>
          <w:p w14:paraId="6B17F73F" w14:textId="77777777" w:rsidR="00AF2C5E" w:rsidRPr="00AF2C5E" w:rsidRDefault="00AF2C5E">
            <w:pPr>
              <w:pStyle w:val="T2"/>
              <w:keepNext/>
              <w:jc w:val="center"/>
              <w:rPr>
                <w:szCs w:val="24"/>
                <w:lang w:bidi="he-IL"/>
              </w:rPr>
            </w:pPr>
            <w:r w:rsidRPr="00AF2C5E">
              <w:rPr>
                <w:szCs w:val="24"/>
                <w:lang w:bidi="he-IL"/>
              </w:rPr>
              <w:t>1424 (83.7%)</w:t>
            </w:r>
          </w:p>
        </w:tc>
      </w:tr>
      <w:tr w:rsidR="00AF2C5E" w:rsidRPr="00AF2C5E" w14:paraId="7659A899" w14:textId="77777777">
        <w:trPr>
          <w:cantSplit/>
        </w:trPr>
        <w:tc>
          <w:tcPr>
            <w:tcW w:w="3351" w:type="dxa"/>
            <w:tcBorders>
              <w:top w:val="nil"/>
              <w:bottom w:val="nil"/>
            </w:tcBorders>
          </w:tcPr>
          <w:p w14:paraId="5391697C" w14:textId="77777777" w:rsidR="00AF2C5E" w:rsidRPr="00AF2C5E" w:rsidRDefault="00AF2C5E">
            <w:pPr>
              <w:pStyle w:val="T2"/>
              <w:keepNext/>
              <w:rPr>
                <w:szCs w:val="24"/>
                <w:lang w:bidi="he-IL"/>
              </w:rPr>
            </w:pPr>
            <w:r w:rsidRPr="00AF2C5E">
              <w:rPr>
                <w:noProof/>
                <w:szCs w:val="24"/>
                <w:lang w:bidi="he-IL"/>
              </w:rPr>
              <w:t>p vs observation</w:t>
            </w:r>
          </w:p>
        </w:tc>
        <w:tc>
          <w:tcPr>
            <w:tcW w:w="2852" w:type="dxa"/>
            <w:gridSpan w:val="2"/>
            <w:tcBorders>
              <w:top w:val="nil"/>
              <w:bottom w:val="nil"/>
            </w:tcBorders>
          </w:tcPr>
          <w:p w14:paraId="0C88A8CB" w14:textId="77777777" w:rsidR="00AF2C5E" w:rsidRPr="00AF2C5E" w:rsidRDefault="00AF2C5E">
            <w:pPr>
              <w:pStyle w:val="T2"/>
              <w:keepNext/>
              <w:jc w:val="center"/>
              <w:rPr>
                <w:szCs w:val="24"/>
                <w:lang w:bidi="he-IL"/>
              </w:rPr>
            </w:pPr>
            <w:r w:rsidRPr="00AF2C5E">
              <w:rPr>
                <w:szCs w:val="24"/>
                <w:lang w:bidi="he-IL"/>
              </w:rPr>
              <w:t>0.24</w:t>
            </w:r>
          </w:p>
        </w:tc>
        <w:tc>
          <w:tcPr>
            <w:tcW w:w="2852" w:type="dxa"/>
            <w:gridSpan w:val="2"/>
            <w:tcBorders>
              <w:top w:val="nil"/>
              <w:bottom w:val="nil"/>
            </w:tcBorders>
          </w:tcPr>
          <w:p w14:paraId="71C0390D" w14:textId="77777777" w:rsidR="00AF2C5E" w:rsidRPr="00AF2C5E" w:rsidRDefault="00AF2C5E">
            <w:pPr>
              <w:pStyle w:val="T2"/>
              <w:keepNext/>
              <w:jc w:val="center"/>
              <w:rPr>
                <w:szCs w:val="24"/>
                <w:lang w:bidi="he-IL"/>
              </w:rPr>
            </w:pPr>
            <w:r w:rsidRPr="00AF2C5E">
              <w:rPr>
                <w:szCs w:val="24"/>
                <w:lang w:bidi="he-IL"/>
              </w:rPr>
              <w:t>0.0005</w:t>
            </w:r>
          </w:p>
        </w:tc>
      </w:tr>
      <w:tr w:rsidR="00AF2C5E" w:rsidRPr="00AF2C5E" w14:paraId="2824BE66" w14:textId="77777777">
        <w:trPr>
          <w:cantSplit/>
        </w:trPr>
        <w:tc>
          <w:tcPr>
            <w:tcW w:w="3351" w:type="dxa"/>
            <w:tcBorders>
              <w:top w:val="nil"/>
            </w:tcBorders>
          </w:tcPr>
          <w:p w14:paraId="68A5DF9A" w14:textId="77777777" w:rsidR="00AF2C5E" w:rsidRPr="00AF2C5E" w:rsidRDefault="00AF2C5E">
            <w:pPr>
              <w:pStyle w:val="T1b"/>
              <w:keepNext/>
              <w:rPr>
                <w:szCs w:val="24"/>
                <w:lang w:bidi="he-IL"/>
              </w:rPr>
            </w:pPr>
            <w:r w:rsidRPr="00AF2C5E">
              <w:rPr>
                <w:noProof/>
                <w:szCs w:val="24"/>
                <w:lang w:bidi="he-IL"/>
              </w:rPr>
              <w:t>Hazard ratio vs observation</w:t>
            </w:r>
          </w:p>
        </w:tc>
        <w:tc>
          <w:tcPr>
            <w:tcW w:w="2852" w:type="dxa"/>
            <w:gridSpan w:val="2"/>
            <w:tcBorders>
              <w:top w:val="nil"/>
            </w:tcBorders>
          </w:tcPr>
          <w:p w14:paraId="3E80180C" w14:textId="77777777" w:rsidR="00AF2C5E" w:rsidRPr="00AF2C5E" w:rsidRDefault="00AF2C5E">
            <w:pPr>
              <w:pStyle w:val="T1b"/>
              <w:keepNext/>
              <w:jc w:val="center"/>
              <w:rPr>
                <w:szCs w:val="24"/>
                <w:lang w:bidi="he-IL"/>
              </w:rPr>
            </w:pPr>
            <w:r w:rsidRPr="00AF2C5E">
              <w:rPr>
                <w:szCs w:val="24"/>
                <w:lang w:bidi="he-IL"/>
              </w:rPr>
              <w:t>0.75</w:t>
            </w:r>
          </w:p>
        </w:tc>
        <w:tc>
          <w:tcPr>
            <w:tcW w:w="2852" w:type="dxa"/>
            <w:gridSpan w:val="2"/>
            <w:tcBorders>
              <w:top w:val="nil"/>
            </w:tcBorders>
          </w:tcPr>
          <w:p w14:paraId="53275CEC" w14:textId="77777777" w:rsidR="00AF2C5E" w:rsidRPr="00AF2C5E" w:rsidRDefault="00AF2C5E">
            <w:pPr>
              <w:pStyle w:val="T1b"/>
              <w:keepNext/>
              <w:jc w:val="center"/>
              <w:rPr>
                <w:szCs w:val="24"/>
                <w:lang w:bidi="he-IL"/>
              </w:rPr>
            </w:pPr>
            <w:r w:rsidRPr="00AF2C5E">
              <w:rPr>
                <w:szCs w:val="24"/>
                <w:lang w:bidi="he-IL"/>
              </w:rPr>
              <w:t>0.76</w:t>
            </w:r>
          </w:p>
        </w:tc>
      </w:tr>
    </w:tbl>
    <w:p w14:paraId="24A921C7" w14:textId="77777777" w:rsidR="00AF2C5E" w:rsidRDefault="00AF2C5E">
      <w:pPr>
        <w:pStyle w:val="T1a"/>
        <w:keepNext/>
        <w:keepLines/>
        <w:ind w:left="360" w:hanging="360"/>
        <w:rPr>
          <w:szCs w:val="24"/>
          <w:lang w:bidi="he-IL"/>
        </w:rPr>
      </w:pPr>
      <w:r>
        <w:rPr>
          <w:szCs w:val="24"/>
          <w:lang w:bidi="he-IL"/>
        </w:rPr>
        <w:t>*</w:t>
      </w:r>
      <w:r>
        <w:rPr>
          <w:szCs w:val="24"/>
          <w:lang w:bidi="he-IL"/>
        </w:rPr>
        <w:tab/>
      </w:r>
      <w:r>
        <w:rPr>
          <w:noProof/>
          <w:szCs w:val="24"/>
          <w:lang w:bidi="he-IL"/>
        </w:rPr>
        <w:t>The co-primary endpoint of disease-free survival after 1 year versus observation was within the pre-defined statistical limits</w:t>
      </w:r>
    </w:p>
    <w:p w14:paraId="07819727" w14:textId="77777777" w:rsidR="00AF2C5E" w:rsidRDefault="00AF2C5E">
      <w:pPr>
        <w:pStyle w:val="T2"/>
        <w:keepNext/>
        <w:keepLines/>
        <w:spacing w:before="0" w:after="0"/>
        <w:ind w:left="360" w:hanging="360"/>
        <w:rPr>
          <w:szCs w:val="24"/>
          <w:lang w:bidi="he-IL"/>
        </w:rPr>
      </w:pPr>
      <w:r>
        <w:rPr>
          <w:szCs w:val="24"/>
          <w:lang w:bidi="he-IL"/>
        </w:rPr>
        <w:t>**</w:t>
      </w:r>
      <w:r>
        <w:rPr>
          <w:szCs w:val="24"/>
          <w:lang w:bidi="he-IL"/>
        </w:rPr>
        <w:tab/>
      </w:r>
      <w:r>
        <w:rPr>
          <w:noProof/>
          <w:szCs w:val="24"/>
          <w:lang w:bidi="he-IL"/>
        </w:rPr>
        <w:t>Final analysis (including crossover of 52% of patients from the observation arm to Herceptin)</w:t>
      </w:r>
    </w:p>
    <w:p w14:paraId="11906E11" w14:textId="77777777" w:rsidR="00AF2C5E" w:rsidRDefault="00AF2C5E">
      <w:pPr>
        <w:pStyle w:val="T1b"/>
        <w:keepLines/>
        <w:ind w:left="360" w:hanging="360"/>
        <w:rPr>
          <w:szCs w:val="24"/>
          <w:lang w:bidi="he-IL"/>
        </w:rPr>
      </w:pPr>
      <w:r>
        <w:rPr>
          <w:szCs w:val="24"/>
          <w:lang w:bidi="he-IL"/>
        </w:rPr>
        <w:t>***</w:t>
      </w:r>
      <w:r>
        <w:rPr>
          <w:szCs w:val="24"/>
          <w:lang w:bidi="he-IL"/>
        </w:rPr>
        <w:tab/>
      </w:r>
      <w:r>
        <w:rPr>
          <w:noProof/>
          <w:szCs w:val="24"/>
          <w:lang w:bidi="he-IL"/>
        </w:rPr>
        <w:t>There is a discrepancy in the overall sample size due to a small group of patients who were randomised after the cut-off date for the 12-month median follow-up</w:t>
      </w:r>
    </w:p>
    <w:p w14:paraId="6CDB2CCF" w14:textId="77777777" w:rsidR="00AF2C5E" w:rsidRDefault="00AF2C5E">
      <w:pPr>
        <w:pStyle w:val="J1"/>
      </w:pPr>
      <w:r>
        <w:t>The efficacy results in the interim analysis exceeded the statistical limits pre-defined in the protocol for comparing 1-year Herceptin treatment with observation. After a median follow-up of 12 months, the hazard ratio (HR) for disease-free survival was 0.54 (95% CI 0.44, 0.67), which translates to an absolute benefit, in terms of 2-year disease-free survival, of 7.6 percentage points (85.8% vs 78.2%) in favour of the Herceptin arm.</w:t>
      </w:r>
    </w:p>
    <w:p w14:paraId="2F52E89A" w14:textId="77777777" w:rsidR="00AF2C5E" w:rsidRDefault="00AF2C5E">
      <w:pPr>
        <w:pStyle w:val="J1"/>
      </w:pPr>
      <w:r>
        <w:t>A final analysis performed after a median follow-up of 8 years showed that 1-year Herceptin treatment reduces risk by 24% compared to observation only (HR=0.76, 95% CI 0.67, 0.86). This translates to an absolute benefit in terms of 8-year disease-free survival of 6.4 percentage points in favour of 1-year Herceptin treatment.</w:t>
      </w:r>
    </w:p>
    <w:p w14:paraId="1AB228E6" w14:textId="77777777" w:rsidR="00AF2C5E" w:rsidRDefault="00AF2C5E">
      <w:pPr>
        <w:pStyle w:val="J1"/>
      </w:pPr>
      <w:r>
        <w:t>In this final analysis, extending Herceptin treatment to two years did not show additional benefit over treatment for 1 year (disease-free survival HR in the intent to treat [ITT] population of 2 years versus 1 year = 0.99 [95% CI: 0.87, 1.13], p=0.90 and overall survival HR = 0.98 [0.83, 1.15]; p=0.78). The rate of asymptomatic cardiac dysfunction was increased in the 2-year treatment arm (8.1% versus 4.6% in the 1-year treatment arm). More patients experienced at least one grade 3 or 4 adverse event in the 2-year treatment arm (20.4%) than in the 1-year treatment arm (16.3%).</w:t>
      </w:r>
    </w:p>
    <w:p w14:paraId="3FD7C7F0" w14:textId="77777777" w:rsidR="00AF2C5E" w:rsidRDefault="00AF2C5E">
      <w:pPr>
        <w:pStyle w:val="J1"/>
      </w:pPr>
      <w:r>
        <w:lastRenderedPageBreak/>
        <w:t>The jointly analysed NCCTG N9831 and NSABP B</w:t>
      </w:r>
      <w:r>
        <w:noBreakHyphen/>
        <w:t>31 studies were designed to investigate the clinical utility of combining Herceptin (H) treatment with paclitaxel (P) following AC (doxorubicin plus cyclophosphamide) chemotherapy. The NCCTG N9831 study additionally investigated administration of Herceptin sequentially to AC/paclitaxel chemotherapy in patients with HER2-positive early breast cancer following surgery.</w:t>
      </w:r>
    </w:p>
    <w:p w14:paraId="541E077F" w14:textId="77777777" w:rsidR="00AF2C5E" w:rsidRDefault="00AF2C5E">
      <w:pPr>
        <w:pStyle w:val="J1"/>
      </w:pPr>
      <w:r>
        <w:t>In the joint analysis of the NCCTG N9831 and NSABP B-31 studies, early breast cancer was limited to women with operable high-risk tumours, defined as HER2-positive and positive axillary lymph nodes or HER2-positive and negative axillary lymph nodes with high-risk features (tumour size &gt;1 cm and ER-negative or tumour size &gt;2 cm regardless of hormonal status).</w:t>
      </w:r>
    </w:p>
    <w:p w14:paraId="1F126DA7" w14:textId="77777777" w:rsidR="00AF2C5E" w:rsidRDefault="00AF2C5E">
      <w:pPr>
        <w:pStyle w:val="J1"/>
      </w:pPr>
      <w:r>
        <w:t>Herceptin was administered in combination with paclitaxel after AC chemotherapy. Paclitaxel was administered as follows:</w:t>
      </w:r>
    </w:p>
    <w:p w14:paraId="21056355" w14:textId="77777777" w:rsidR="00AF2C5E" w:rsidRDefault="00AF2C5E">
      <w:pPr>
        <w:pStyle w:val="J1"/>
        <w:numPr>
          <w:ilvl w:val="0"/>
          <w:numId w:val="24"/>
        </w:numPr>
        <w:ind w:left="360"/>
      </w:pPr>
      <w:r>
        <w:t>intravenous paclitaxel 80 mg/m</w:t>
      </w:r>
      <w:r>
        <w:rPr>
          <w:vertAlign w:val="superscript"/>
        </w:rPr>
        <w:t>2</w:t>
      </w:r>
      <w:r>
        <w:t xml:space="preserve"> as a continuous i.v. infusion, given every week for 12 weeks</w:t>
      </w:r>
    </w:p>
    <w:p w14:paraId="66C0682D" w14:textId="77777777" w:rsidR="00AF2C5E" w:rsidRDefault="00AF2C5E">
      <w:pPr>
        <w:pStyle w:val="J1"/>
      </w:pPr>
      <w:r>
        <w:t>or</w:t>
      </w:r>
    </w:p>
    <w:p w14:paraId="7E697E4E" w14:textId="77777777" w:rsidR="00AF2C5E" w:rsidRDefault="00AF2C5E">
      <w:pPr>
        <w:pStyle w:val="J1"/>
        <w:numPr>
          <w:ilvl w:val="0"/>
          <w:numId w:val="24"/>
        </w:numPr>
        <w:ind w:left="360"/>
      </w:pPr>
      <w:r>
        <w:t>intravenous paclitaxel 175 mg/m</w:t>
      </w:r>
      <w:r>
        <w:rPr>
          <w:vertAlign w:val="superscript"/>
        </w:rPr>
        <w:t>2</w:t>
      </w:r>
      <w:r>
        <w:t xml:space="preserve"> as a continuous i.v. infusion, given every 3 weeks for 4 cycles (day 1 of each cycle).</w:t>
      </w:r>
    </w:p>
    <w:p w14:paraId="301F6F1F" w14:textId="77777777" w:rsidR="00AF2C5E" w:rsidRDefault="00AF2C5E">
      <w:pPr>
        <w:pStyle w:val="J1"/>
      </w:pPr>
      <w:r>
        <w:t>In the NCCTG 9831 and NSABP B</w:t>
      </w:r>
      <w:r>
        <w:noBreakHyphen/>
        <w:t>31 studies, Herceptin i.v. was administered weekly together with chemotherapy: initial dose of 4 mg/kg body weight as a 90-minute infusion, followed by 2 mg/kg body weight as a 30-minute infusion. Treatment with Herceptin was continued for a period of 1 year from the time of first administration.</w:t>
      </w:r>
    </w:p>
    <w:p w14:paraId="40F6CA9C" w14:textId="77777777" w:rsidR="00AF2C5E" w:rsidRDefault="00AF2C5E">
      <w:pPr>
        <w:pStyle w:val="J1"/>
      </w:pPr>
      <w:r>
        <w:t>At the time of the interim analysis, the median duration of follow-up was 1.8 years for the AC→P arm and 2.0 years for the AC→PH arm.</w:t>
      </w:r>
    </w:p>
    <w:p w14:paraId="56C78E0C" w14:textId="77777777" w:rsidR="00AF2C5E" w:rsidRDefault="00AF2C5E">
      <w:pPr>
        <w:pStyle w:val="THead"/>
        <w:rPr>
          <w:bCs w:val="0"/>
        </w:rPr>
      </w:pPr>
      <w:r>
        <w:rPr>
          <w:bCs w:val="0"/>
        </w:rPr>
        <w:t>Summary of efficacy results from the joint analysis of studies NCCTG 9831 and NSABP B</w:t>
      </w:r>
      <w:r>
        <w:rPr>
          <w:bCs w:val="0"/>
        </w:rPr>
        <w:noBreakHyphen/>
        <w:t>31 at the time of the definitive DFS analysis*:</w:t>
      </w:r>
    </w:p>
    <w:tbl>
      <w:tblPr>
        <w:tblW w:w="90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079"/>
        <w:gridCol w:w="1512"/>
        <w:gridCol w:w="1512"/>
        <w:gridCol w:w="1224"/>
        <w:gridCol w:w="1728"/>
      </w:tblGrid>
      <w:tr w:rsidR="00AF2C5E" w:rsidRPr="00AF2C5E" w14:paraId="3DE5E33B" w14:textId="77777777">
        <w:trPr>
          <w:cantSplit/>
        </w:trPr>
        <w:tc>
          <w:tcPr>
            <w:tcW w:w="3079" w:type="dxa"/>
          </w:tcPr>
          <w:p w14:paraId="40A15839" w14:textId="77777777" w:rsidR="00AF2C5E" w:rsidRPr="00AF2C5E" w:rsidRDefault="00AF2C5E">
            <w:pPr>
              <w:pStyle w:val="T1"/>
              <w:keepNext/>
              <w:rPr>
                <w:rFonts w:cs="Arial"/>
                <w:b/>
                <w:szCs w:val="24"/>
              </w:rPr>
            </w:pPr>
            <w:r w:rsidRPr="00AF2C5E">
              <w:rPr>
                <w:rFonts w:cs="Arial"/>
                <w:b/>
                <w:szCs w:val="24"/>
              </w:rPr>
              <w:t>Parameter</w:t>
            </w:r>
          </w:p>
        </w:tc>
        <w:tc>
          <w:tcPr>
            <w:tcW w:w="1512" w:type="dxa"/>
          </w:tcPr>
          <w:p w14:paraId="08C251D6" w14:textId="77777777" w:rsidR="00AF2C5E" w:rsidRPr="00AF2C5E" w:rsidRDefault="00AF2C5E">
            <w:pPr>
              <w:pStyle w:val="T1"/>
              <w:keepNext/>
              <w:jc w:val="center"/>
              <w:rPr>
                <w:rFonts w:cs="Arial"/>
                <w:b/>
                <w:szCs w:val="24"/>
              </w:rPr>
            </w:pPr>
            <w:r w:rsidRPr="00AF2C5E">
              <w:rPr>
                <w:rFonts w:cs="Arial"/>
                <w:b/>
                <w:szCs w:val="24"/>
              </w:rPr>
              <w:t>AC→P</w:t>
            </w:r>
            <w:r w:rsidRPr="00AF2C5E">
              <w:rPr>
                <w:rFonts w:cs="Arial"/>
                <w:b/>
                <w:szCs w:val="24"/>
              </w:rPr>
              <w:br/>
              <w:t>n=1679</w:t>
            </w:r>
          </w:p>
        </w:tc>
        <w:tc>
          <w:tcPr>
            <w:tcW w:w="1512" w:type="dxa"/>
          </w:tcPr>
          <w:p w14:paraId="21CA2B07" w14:textId="77777777" w:rsidR="00AF2C5E" w:rsidRPr="00AF2C5E" w:rsidRDefault="00AF2C5E">
            <w:pPr>
              <w:pStyle w:val="T1"/>
              <w:keepNext/>
              <w:jc w:val="center"/>
              <w:rPr>
                <w:rFonts w:cs="Arial"/>
                <w:b/>
                <w:szCs w:val="24"/>
              </w:rPr>
            </w:pPr>
            <w:r w:rsidRPr="00AF2C5E">
              <w:rPr>
                <w:rFonts w:cs="Arial"/>
                <w:b/>
                <w:szCs w:val="24"/>
              </w:rPr>
              <w:t>AC→P+H</w:t>
            </w:r>
            <w:r w:rsidRPr="00AF2C5E">
              <w:rPr>
                <w:rFonts w:cs="Arial"/>
                <w:b/>
                <w:szCs w:val="24"/>
              </w:rPr>
              <w:br/>
              <w:t>n=1672</w:t>
            </w:r>
          </w:p>
        </w:tc>
        <w:tc>
          <w:tcPr>
            <w:tcW w:w="1224" w:type="dxa"/>
          </w:tcPr>
          <w:p w14:paraId="63E16C6E" w14:textId="77777777" w:rsidR="00AF2C5E" w:rsidRPr="00AF2C5E" w:rsidRDefault="00AF2C5E">
            <w:pPr>
              <w:pStyle w:val="T1"/>
              <w:keepNext/>
              <w:jc w:val="center"/>
              <w:rPr>
                <w:rFonts w:cs="Arial"/>
                <w:b/>
                <w:szCs w:val="24"/>
              </w:rPr>
            </w:pPr>
            <w:r w:rsidRPr="00AF2C5E">
              <w:rPr>
                <w:rFonts w:cs="Arial"/>
                <w:b/>
                <w:szCs w:val="24"/>
              </w:rPr>
              <w:t>p value</w:t>
            </w:r>
          </w:p>
        </w:tc>
        <w:tc>
          <w:tcPr>
            <w:tcW w:w="1728" w:type="dxa"/>
          </w:tcPr>
          <w:p w14:paraId="5A099D56" w14:textId="77777777" w:rsidR="00AF2C5E" w:rsidRPr="00AF2C5E" w:rsidRDefault="00AF2C5E">
            <w:pPr>
              <w:pStyle w:val="T1"/>
              <w:keepNext/>
              <w:jc w:val="center"/>
              <w:rPr>
                <w:rFonts w:cs="Arial"/>
                <w:b/>
                <w:szCs w:val="24"/>
              </w:rPr>
            </w:pPr>
            <w:r w:rsidRPr="00AF2C5E">
              <w:rPr>
                <w:rFonts w:cs="Arial"/>
                <w:b/>
                <w:szCs w:val="24"/>
              </w:rPr>
              <w:t>Hazard ratio</w:t>
            </w:r>
          </w:p>
        </w:tc>
      </w:tr>
      <w:tr w:rsidR="00AF2C5E" w:rsidRPr="00AF2C5E" w14:paraId="13A56C75" w14:textId="77777777">
        <w:trPr>
          <w:cantSplit/>
        </w:trPr>
        <w:tc>
          <w:tcPr>
            <w:tcW w:w="3079" w:type="dxa"/>
            <w:tcBorders>
              <w:bottom w:val="nil"/>
            </w:tcBorders>
          </w:tcPr>
          <w:p w14:paraId="374B12FE" w14:textId="77777777" w:rsidR="00AF2C5E" w:rsidRPr="00AF2C5E" w:rsidRDefault="00AF2C5E">
            <w:pPr>
              <w:pStyle w:val="T1a"/>
              <w:keepNext/>
              <w:rPr>
                <w:szCs w:val="24"/>
                <w:lang w:bidi="he-IL"/>
              </w:rPr>
            </w:pPr>
            <w:r w:rsidRPr="00AF2C5E">
              <w:rPr>
                <w:noProof/>
                <w:szCs w:val="24"/>
                <w:lang w:bidi="he-IL"/>
              </w:rPr>
              <w:t>Disease-free survival</w:t>
            </w:r>
          </w:p>
        </w:tc>
        <w:tc>
          <w:tcPr>
            <w:tcW w:w="1512" w:type="dxa"/>
            <w:tcBorders>
              <w:bottom w:val="nil"/>
            </w:tcBorders>
          </w:tcPr>
          <w:p w14:paraId="56247BD4" w14:textId="77777777" w:rsidR="00AF2C5E" w:rsidRPr="00AF2C5E" w:rsidRDefault="00AF2C5E">
            <w:pPr>
              <w:pStyle w:val="T1a"/>
              <w:keepNext/>
              <w:jc w:val="center"/>
              <w:rPr>
                <w:szCs w:val="24"/>
                <w:lang w:bidi="he-IL"/>
              </w:rPr>
            </w:pPr>
          </w:p>
        </w:tc>
        <w:tc>
          <w:tcPr>
            <w:tcW w:w="1512" w:type="dxa"/>
            <w:tcBorders>
              <w:bottom w:val="nil"/>
            </w:tcBorders>
          </w:tcPr>
          <w:p w14:paraId="50AF60E3" w14:textId="77777777" w:rsidR="00AF2C5E" w:rsidRPr="00AF2C5E" w:rsidRDefault="00AF2C5E">
            <w:pPr>
              <w:pStyle w:val="T1a"/>
              <w:keepNext/>
              <w:jc w:val="center"/>
              <w:rPr>
                <w:szCs w:val="24"/>
                <w:lang w:bidi="he-IL"/>
              </w:rPr>
            </w:pPr>
          </w:p>
        </w:tc>
        <w:tc>
          <w:tcPr>
            <w:tcW w:w="1224" w:type="dxa"/>
            <w:tcBorders>
              <w:bottom w:val="nil"/>
            </w:tcBorders>
          </w:tcPr>
          <w:p w14:paraId="7324BB61" w14:textId="77777777" w:rsidR="00AF2C5E" w:rsidRPr="00AF2C5E" w:rsidRDefault="00AF2C5E">
            <w:pPr>
              <w:pStyle w:val="T1a"/>
              <w:keepNext/>
              <w:jc w:val="center"/>
              <w:rPr>
                <w:szCs w:val="24"/>
                <w:lang w:bidi="he-IL"/>
              </w:rPr>
            </w:pPr>
          </w:p>
        </w:tc>
        <w:tc>
          <w:tcPr>
            <w:tcW w:w="1728" w:type="dxa"/>
            <w:tcBorders>
              <w:bottom w:val="nil"/>
            </w:tcBorders>
          </w:tcPr>
          <w:p w14:paraId="63356D0D" w14:textId="77777777" w:rsidR="00AF2C5E" w:rsidRPr="00AF2C5E" w:rsidRDefault="00AF2C5E">
            <w:pPr>
              <w:pStyle w:val="T1a"/>
              <w:keepNext/>
              <w:jc w:val="center"/>
              <w:rPr>
                <w:szCs w:val="24"/>
                <w:lang w:bidi="he-IL"/>
              </w:rPr>
            </w:pPr>
          </w:p>
        </w:tc>
      </w:tr>
      <w:tr w:rsidR="00AF2C5E" w:rsidRPr="00AF2C5E" w14:paraId="38C40185" w14:textId="77777777">
        <w:trPr>
          <w:cantSplit/>
        </w:trPr>
        <w:tc>
          <w:tcPr>
            <w:tcW w:w="3079" w:type="dxa"/>
            <w:tcBorders>
              <w:top w:val="nil"/>
              <w:bottom w:val="nil"/>
            </w:tcBorders>
          </w:tcPr>
          <w:p w14:paraId="4C3E8B16" w14:textId="77777777" w:rsidR="00AF2C5E" w:rsidRPr="00AF2C5E" w:rsidRDefault="00AF2C5E">
            <w:pPr>
              <w:pStyle w:val="T2"/>
              <w:keepNext/>
              <w:numPr>
                <w:ilvl w:val="0"/>
                <w:numId w:val="23"/>
              </w:numPr>
              <w:tabs>
                <w:tab w:val="clear" w:pos="360"/>
              </w:tabs>
              <w:spacing w:before="0" w:after="0"/>
              <w:rPr>
                <w:szCs w:val="24"/>
                <w:lang w:bidi="he-IL"/>
              </w:rPr>
            </w:pPr>
            <w:r w:rsidRPr="00AF2C5E">
              <w:rPr>
                <w:noProof/>
                <w:szCs w:val="24"/>
                <w:lang w:bidi="he-IL"/>
              </w:rPr>
              <w:t>Patients with event</w:t>
            </w:r>
          </w:p>
        </w:tc>
        <w:tc>
          <w:tcPr>
            <w:tcW w:w="1512" w:type="dxa"/>
            <w:tcBorders>
              <w:top w:val="nil"/>
              <w:bottom w:val="nil"/>
            </w:tcBorders>
          </w:tcPr>
          <w:p w14:paraId="166AA8E1" w14:textId="77777777" w:rsidR="00AF2C5E" w:rsidRPr="00AF2C5E" w:rsidRDefault="00AF2C5E">
            <w:pPr>
              <w:pStyle w:val="T2"/>
              <w:keepNext/>
              <w:jc w:val="center"/>
              <w:rPr>
                <w:szCs w:val="24"/>
                <w:lang w:bidi="he-IL"/>
              </w:rPr>
            </w:pPr>
            <w:r w:rsidRPr="00AF2C5E">
              <w:rPr>
                <w:szCs w:val="24"/>
                <w:lang w:bidi="he-IL"/>
              </w:rPr>
              <w:t>261 (15.5%)</w:t>
            </w:r>
          </w:p>
        </w:tc>
        <w:tc>
          <w:tcPr>
            <w:tcW w:w="1512" w:type="dxa"/>
            <w:tcBorders>
              <w:top w:val="nil"/>
              <w:bottom w:val="nil"/>
            </w:tcBorders>
          </w:tcPr>
          <w:p w14:paraId="14DD8A12" w14:textId="77777777" w:rsidR="00AF2C5E" w:rsidRPr="00AF2C5E" w:rsidRDefault="00AF2C5E">
            <w:pPr>
              <w:pStyle w:val="T2"/>
              <w:keepNext/>
              <w:jc w:val="center"/>
              <w:rPr>
                <w:szCs w:val="24"/>
                <w:lang w:bidi="he-IL"/>
              </w:rPr>
            </w:pPr>
            <w:r w:rsidRPr="00AF2C5E">
              <w:rPr>
                <w:szCs w:val="24"/>
                <w:lang w:bidi="he-IL"/>
              </w:rPr>
              <w:t>133 (8.0%)</w:t>
            </w:r>
          </w:p>
        </w:tc>
        <w:tc>
          <w:tcPr>
            <w:tcW w:w="1224" w:type="dxa"/>
            <w:tcBorders>
              <w:top w:val="nil"/>
              <w:bottom w:val="nil"/>
            </w:tcBorders>
          </w:tcPr>
          <w:p w14:paraId="12068F36" w14:textId="77777777" w:rsidR="00AF2C5E" w:rsidRPr="00AF2C5E" w:rsidRDefault="00AF2C5E">
            <w:pPr>
              <w:pStyle w:val="T2"/>
              <w:keepNext/>
              <w:jc w:val="center"/>
              <w:rPr>
                <w:szCs w:val="24"/>
                <w:lang w:bidi="he-IL"/>
              </w:rPr>
            </w:pPr>
            <w:r w:rsidRPr="00AF2C5E">
              <w:rPr>
                <w:szCs w:val="24"/>
                <w:lang w:bidi="he-IL"/>
              </w:rPr>
              <w:t>&lt;0.0001</w:t>
            </w:r>
          </w:p>
        </w:tc>
        <w:tc>
          <w:tcPr>
            <w:tcW w:w="1728" w:type="dxa"/>
            <w:tcBorders>
              <w:top w:val="nil"/>
              <w:bottom w:val="nil"/>
            </w:tcBorders>
          </w:tcPr>
          <w:p w14:paraId="20B0C6B6" w14:textId="77777777" w:rsidR="00AF2C5E" w:rsidRPr="00AF2C5E" w:rsidRDefault="00AF2C5E">
            <w:pPr>
              <w:pStyle w:val="T2"/>
              <w:keepNext/>
              <w:jc w:val="center"/>
              <w:rPr>
                <w:szCs w:val="24"/>
                <w:lang w:bidi="he-IL"/>
              </w:rPr>
            </w:pPr>
            <w:r w:rsidRPr="00AF2C5E">
              <w:rPr>
                <w:szCs w:val="24"/>
                <w:lang w:bidi="he-IL"/>
              </w:rPr>
              <w:t>0.48 (0.39-0.59)</w:t>
            </w:r>
          </w:p>
        </w:tc>
      </w:tr>
      <w:tr w:rsidR="00AF2C5E" w:rsidRPr="00AF2C5E" w14:paraId="2F26BB67" w14:textId="77777777">
        <w:trPr>
          <w:cantSplit/>
        </w:trPr>
        <w:tc>
          <w:tcPr>
            <w:tcW w:w="3079" w:type="dxa"/>
            <w:tcBorders>
              <w:top w:val="nil"/>
            </w:tcBorders>
          </w:tcPr>
          <w:p w14:paraId="527B1725" w14:textId="77777777" w:rsidR="00AF2C5E" w:rsidRPr="00AF2C5E" w:rsidRDefault="00AF2C5E">
            <w:pPr>
              <w:pStyle w:val="T1b"/>
              <w:keepNext/>
              <w:numPr>
                <w:ilvl w:val="0"/>
                <w:numId w:val="23"/>
              </w:numPr>
              <w:tabs>
                <w:tab w:val="clear" w:pos="360"/>
              </w:tabs>
              <w:rPr>
                <w:szCs w:val="24"/>
                <w:lang w:bidi="he-IL"/>
              </w:rPr>
            </w:pPr>
            <w:r w:rsidRPr="00AF2C5E">
              <w:rPr>
                <w:noProof/>
                <w:szCs w:val="24"/>
                <w:lang w:bidi="he-IL"/>
              </w:rPr>
              <w:t>Patients without event</w:t>
            </w:r>
          </w:p>
        </w:tc>
        <w:tc>
          <w:tcPr>
            <w:tcW w:w="1512" w:type="dxa"/>
            <w:tcBorders>
              <w:top w:val="nil"/>
            </w:tcBorders>
          </w:tcPr>
          <w:p w14:paraId="5733B963" w14:textId="77777777" w:rsidR="00AF2C5E" w:rsidRPr="00AF2C5E" w:rsidRDefault="00AF2C5E">
            <w:pPr>
              <w:pStyle w:val="T1b"/>
              <w:keepNext/>
              <w:jc w:val="center"/>
              <w:rPr>
                <w:szCs w:val="24"/>
                <w:lang w:bidi="he-IL"/>
              </w:rPr>
            </w:pPr>
            <w:r w:rsidRPr="00AF2C5E">
              <w:rPr>
                <w:szCs w:val="24"/>
                <w:lang w:bidi="he-IL"/>
              </w:rPr>
              <w:t>1418 (84.5%)</w:t>
            </w:r>
          </w:p>
        </w:tc>
        <w:tc>
          <w:tcPr>
            <w:tcW w:w="1512" w:type="dxa"/>
            <w:tcBorders>
              <w:top w:val="nil"/>
            </w:tcBorders>
          </w:tcPr>
          <w:p w14:paraId="765BE7B9" w14:textId="77777777" w:rsidR="00AF2C5E" w:rsidRPr="00AF2C5E" w:rsidRDefault="00AF2C5E">
            <w:pPr>
              <w:pStyle w:val="T1b"/>
              <w:keepNext/>
              <w:jc w:val="center"/>
              <w:rPr>
                <w:szCs w:val="24"/>
                <w:lang w:bidi="he-IL"/>
              </w:rPr>
            </w:pPr>
            <w:r w:rsidRPr="00AF2C5E">
              <w:rPr>
                <w:szCs w:val="24"/>
                <w:lang w:bidi="he-IL"/>
              </w:rPr>
              <w:t>1539 (92.0%)</w:t>
            </w:r>
          </w:p>
        </w:tc>
        <w:tc>
          <w:tcPr>
            <w:tcW w:w="1224" w:type="dxa"/>
            <w:tcBorders>
              <w:top w:val="nil"/>
            </w:tcBorders>
          </w:tcPr>
          <w:p w14:paraId="3ED59F77" w14:textId="77777777" w:rsidR="00AF2C5E" w:rsidRPr="00AF2C5E" w:rsidRDefault="00AF2C5E">
            <w:pPr>
              <w:pStyle w:val="T1b"/>
              <w:keepNext/>
              <w:jc w:val="center"/>
              <w:rPr>
                <w:szCs w:val="24"/>
                <w:lang w:bidi="he-IL"/>
              </w:rPr>
            </w:pPr>
          </w:p>
        </w:tc>
        <w:tc>
          <w:tcPr>
            <w:tcW w:w="1728" w:type="dxa"/>
            <w:tcBorders>
              <w:top w:val="nil"/>
            </w:tcBorders>
          </w:tcPr>
          <w:p w14:paraId="24536A6E" w14:textId="77777777" w:rsidR="00AF2C5E" w:rsidRPr="00AF2C5E" w:rsidRDefault="00AF2C5E">
            <w:pPr>
              <w:pStyle w:val="T1b"/>
              <w:keepNext/>
              <w:jc w:val="center"/>
              <w:rPr>
                <w:szCs w:val="24"/>
                <w:lang w:bidi="he-IL"/>
              </w:rPr>
            </w:pPr>
          </w:p>
        </w:tc>
      </w:tr>
      <w:tr w:rsidR="00AF2C5E" w:rsidRPr="00AF2C5E" w14:paraId="1E55D122" w14:textId="77777777">
        <w:trPr>
          <w:cantSplit/>
        </w:trPr>
        <w:tc>
          <w:tcPr>
            <w:tcW w:w="3079" w:type="dxa"/>
            <w:tcBorders>
              <w:bottom w:val="nil"/>
            </w:tcBorders>
          </w:tcPr>
          <w:p w14:paraId="7BF03628" w14:textId="77777777" w:rsidR="00AF2C5E" w:rsidRPr="00AF2C5E" w:rsidRDefault="00AF2C5E">
            <w:pPr>
              <w:pStyle w:val="T1a"/>
              <w:keepNext/>
              <w:rPr>
                <w:szCs w:val="24"/>
                <w:lang w:bidi="he-IL"/>
              </w:rPr>
            </w:pPr>
            <w:r w:rsidRPr="00AF2C5E">
              <w:rPr>
                <w:noProof/>
                <w:szCs w:val="24"/>
                <w:lang w:bidi="he-IL"/>
              </w:rPr>
              <w:t>Recurrence</w:t>
            </w:r>
          </w:p>
        </w:tc>
        <w:tc>
          <w:tcPr>
            <w:tcW w:w="1512" w:type="dxa"/>
            <w:tcBorders>
              <w:bottom w:val="nil"/>
            </w:tcBorders>
          </w:tcPr>
          <w:p w14:paraId="495A9145" w14:textId="77777777" w:rsidR="00AF2C5E" w:rsidRPr="00AF2C5E" w:rsidRDefault="00AF2C5E">
            <w:pPr>
              <w:pStyle w:val="T1a"/>
              <w:keepNext/>
              <w:jc w:val="center"/>
              <w:rPr>
                <w:szCs w:val="24"/>
                <w:lang w:bidi="he-IL"/>
              </w:rPr>
            </w:pPr>
          </w:p>
        </w:tc>
        <w:tc>
          <w:tcPr>
            <w:tcW w:w="1512" w:type="dxa"/>
            <w:tcBorders>
              <w:bottom w:val="nil"/>
            </w:tcBorders>
          </w:tcPr>
          <w:p w14:paraId="3283DDE8" w14:textId="77777777" w:rsidR="00AF2C5E" w:rsidRPr="00AF2C5E" w:rsidRDefault="00AF2C5E">
            <w:pPr>
              <w:pStyle w:val="T1a"/>
              <w:keepNext/>
              <w:jc w:val="center"/>
              <w:rPr>
                <w:szCs w:val="24"/>
                <w:lang w:bidi="he-IL"/>
              </w:rPr>
            </w:pPr>
          </w:p>
        </w:tc>
        <w:tc>
          <w:tcPr>
            <w:tcW w:w="1224" w:type="dxa"/>
            <w:tcBorders>
              <w:bottom w:val="nil"/>
            </w:tcBorders>
          </w:tcPr>
          <w:p w14:paraId="07E4DEF5" w14:textId="77777777" w:rsidR="00AF2C5E" w:rsidRPr="00AF2C5E" w:rsidRDefault="00AF2C5E">
            <w:pPr>
              <w:pStyle w:val="T1a"/>
              <w:keepNext/>
              <w:jc w:val="center"/>
              <w:rPr>
                <w:szCs w:val="24"/>
                <w:lang w:bidi="he-IL"/>
              </w:rPr>
            </w:pPr>
          </w:p>
        </w:tc>
        <w:tc>
          <w:tcPr>
            <w:tcW w:w="1728" w:type="dxa"/>
            <w:tcBorders>
              <w:bottom w:val="nil"/>
            </w:tcBorders>
          </w:tcPr>
          <w:p w14:paraId="724A1007" w14:textId="77777777" w:rsidR="00AF2C5E" w:rsidRPr="00AF2C5E" w:rsidRDefault="00AF2C5E">
            <w:pPr>
              <w:pStyle w:val="T1a"/>
              <w:keepNext/>
              <w:jc w:val="center"/>
              <w:rPr>
                <w:szCs w:val="24"/>
                <w:lang w:bidi="he-IL"/>
              </w:rPr>
            </w:pPr>
          </w:p>
        </w:tc>
      </w:tr>
      <w:tr w:rsidR="00AF2C5E" w:rsidRPr="00AF2C5E" w14:paraId="433B6EF5" w14:textId="77777777">
        <w:trPr>
          <w:cantSplit/>
        </w:trPr>
        <w:tc>
          <w:tcPr>
            <w:tcW w:w="3079" w:type="dxa"/>
            <w:tcBorders>
              <w:top w:val="nil"/>
              <w:bottom w:val="nil"/>
            </w:tcBorders>
          </w:tcPr>
          <w:p w14:paraId="5D44D11A" w14:textId="77777777" w:rsidR="00AF2C5E" w:rsidRPr="00AF2C5E" w:rsidRDefault="00AF2C5E">
            <w:pPr>
              <w:pStyle w:val="T2"/>
              <w:keepNext/>
              <w:numPr>
                <w:ilvl w:val="0"/>
                <w:numId w:val="23"/>
              </w:numPr>
              <w:tabs>
                <w:tab w:val="clear" w:pos="360"/>
              </w:tabs>
              <w:spacing w:before="0" w:after="0"/>
              <w:rPr>
                <w:szCs w:val="24"/>
                <w:lang w:bidi="he-IL"/>
              </w:rPr>
            </w:pPr>
            <w:r w:rsidRPr="00AF2C5E">
              <w:rPr>
                <w:noProof/>
                <w:szCs w:val="24"/>
                <w:lang w:bidi="he-IL"/>
              </w:rPr>
              <w:t>Patients with event</w:t>
            </w:r>
          </w:p>
        </w:tc>
        <w:tc>
          <w:tcPr>
            <w:tcW w:w="1512" w:type="dxa"/>
            <w:tcBorders>
              <w:top w:val="nil"/>
              <w:bottom w:val="nil"/>
            </w:tcBorders>
          </w:tcPr>
          <w:p w14:paraId="3416C4C9" w14:textId="77777777" w:rsidR="00AF2C5E" w:rsidRPr="00AF2C5E" w:rsidRDefault="00AF2C5E">
            <w:pPr>
              <w:pStyle w:val="T2"/>
              <w:keepNext/>
              <w:jc w:val="center"/>
              <w:rPr>
                <w:szCs w:val="24"/>
                <w:lang w:bidi="he-IL"/>
              </w:rPr>
            </w:pPr>
            <w:r w:rsidRPr="00AF2C5E">
              <w:rPr>
                <w:szCs w:val="24"/>
                <w:lang w:bidi="he-IL"/>
              </w:rPr>
              <w:t>235 (14.0%)</w:t>
            </w:r>
          </w:p>
        </w:tc>
        <w:tc>
          <w:tcPr>
            <w:tcW w:w="1512" w:type="dxa"/>
            <w:tcBorders>
              <w:top w:val="nil"/>
              <w:bottom w:val="nil"/>
            </w:tcBorders>
          </w:tcPr>
          <w:p w14:paraId="688833E6" w14:textId="77777777" w:rsidR="00AF2C5E" w:rsidRPr="00AF2C5E" w:rsidRDefault="00AF2C5E">
            <w:pPr>
              <w:pStyle w:val="T2"/>
              <w:keepNext/>
              <w:jc w:val="center"/>
              <w:rPr>
                <w:szCs w:val="24"/>
                <w:lang w:bidi="he-IL"/>
              </w:rPr>
            </w:pPr>
            <w:r w:rsidRPr="00AF2C5E">
              <w:rPr>
                <w:szCs w:val="24"/>
                <w:lang w:bidi="he-IL"/>
              </w:rPr>
              <w:t>117 (7.0%)</w:t>
            </w:r>
          </w:p>
        </w:tc>
        <w:tc>
          <w:tcPr>
            <w:tcW w:w="1224" w:type="dxa"/>
            <w:tcBorders>
              <w:top w:val="nil"/>
              <w:bottom w:val="nil"/>
            </w:tcBorders>
          </w:tcPr>
          <w:p w14:paraId="4C3BF970" w14:textId="77777777" w:rsidR="00AF2C5E" w:rsidRPr="00AF2C5E" w:rsidRDefault="00AF2C5E">
            <w:pPr>
              <w:pStyle w:val="T2"/>
              <w:keepNext/>
              <w:jc w:val="center"/>
              <w:rPr>
                <w:szCs w:val="24"/>
                <w:lang w:bidi="he-IL"/>
              </w:rPr>
            </w:pPr>
            <w:r w:rsidRPr="00AF2C5E">
              <w:rPr>
                <w:szCs w:val="24"/>
                <w:lang w:bidi="he-IL"/>
              </w:rPr>
              <w:t>&lt;0.0001</w:t>
            </w:r>
          </w:p>
        </w:tc>
        <w:tc>
          <w:tcPr>
            <w:tcW w:w="1728" w:type="dxa"/>
            <w:tcBorders>
              <w:top w:val="nil"/>
              <w:bottom w:val="nil"/>
            </w:tcBorders>
          </w:tcPr>
          <w:p w14:paraId="33DD1355" w14:textId="77777777" w:rsidR="00AF2C5E" w:rsidRPr="00AF2C5E" w:rsidRDefault="00AF2C5E">
            <w:pPr>
              <w:pStyle w:val="T2"/>
              <w:keepNext/>
              <w:jc w:val="center"/>
              <w:rPr>
                <w:szCs w:val="24"/>
                <w:lang w:bidi="he-IL"/>
              </w:rPr>
            </w:pPr>
            <w:r w:rsidRPr="00AF2C5E">
              <w:rPr>
                <w:szCs w:val="24"/>
                <w:lang w:bidi="he-IL"/>
              </w:rPr>
              <w:t>0.47 (0.37</w:t>
            </w:r>
            <w:r w:rsidRPr="00AF2C5E">
              <w:rPr>
                <w:szCs w:val="24"/>
                <w:lang w:bidi="he-IL"/>
              </w:rPr>
              <w:noBreakHyphen/>
              <w:t>0.58)</w:t>
            </w:r>
          </w:p>
        </w:tc>
      </w:tr>
      <w:tr w:rsidR="00AF2C5E" w:rsidRPr="00AF2C5E" w14:paraId="4C67F0C9" w14:textId="77777777">
        <w:trPr>
          <w:cantSplit/>
        </w:trPr>
        <w:tc>
          <w:tcPr>
            <w:tcW w:w="3079" w:type="dxa"/>
            <w:tcBorders>
              <w:top w:val="nil"/>
            </w:tcBorders>
          </w:tcPr>
          <w:p w14:paraId="5A1C86FE" w14:textId="77777777" w:rsidR="00AF2C5E" w:rsidRPr="00AF2C5E" w:rsidRDefault="00AF2C5E">
            <w:pPr>
              <w:pStyle w:val="T1b"/>
              <w:keepNext/>
              <w:numPr>
                <w:ilvl w:val="0"/>
                <w:numId w:val="23"/>
              </w:numPr>
              <w:tabs>
                <w:tab w:val="clear" w:pos="360"/>
              </w:tabs>
              <w:rPr>
                <w:szCs w:val="24"/>
                <w:lang w:bidi="he-IL"/>
              </w:rPr>
            </w:pPr>
            <w:r w:rsidRPr="00AF2C5E">
              <w:rPr>
                <w:noProof/>
                <w:szCs w:val="24"/>
                <w:lang w:bidi="he-IL"/>
              </w:rPr>
              <w:t>Patients without event</w:t>
            </w:r>
          </w:p>
        </w:tc>
        <w:tc>
          <w:tcPr>
            <w:tcW w:w="1512" w:type="dxa"/>
            <w:tcBorders>
              <w:top w:val="nil"/>
            </w:tcBorders>
          </w:tcPr>
          <w:p w14:paraId="13739DE3" w14:textId="77777777" w:rsidR="00AF2C5E" w:rsidRPr="00AF2C5E" w:rsidRDefault="00AF2C5E">
            <w:pPr>
              <w:pStyle w:val="T1b"/>
              <w:keepNext/>
              <w:jc w:val="center"/>
              <w:rPr>
                <w:szCs w:val="24"/>
                <w:lang w:bidi="he-IL"/>
              </w:rPr>
            </w:pPr>
            <w:r w:rsidRPr="00AF2C5E">
              <w:rPr>
                <w:szCs w:val="24"/>
                <w:lang w:bidi="he-IL"/>
              </w:rPr>
              <w:t>1444 (86.0%)</w:t>
            </w:r>
          </w:p>
        </w:tc>
        <w:tc>
          <w:tcPr>
            <w:tcW w:w="1512" w:type="dxa"/>
            <w:tcBorders>
              <w:top w:val="nil"/>
            </w:tcBorders>
          </w:tcPr>
          <w:p w14:paraId="557CB83F" w14:textId="77777777" w:rsidR="00AF2C5E" w:rsidRPr="00AF2C5E" w:rsidRDefault="00AF2C5E">
            <w:pPr>
              <w:pStyle w:val="T1b"/>
              <w:keepNext/>
              <w:jc w:val="center"/>
              <w:rPr>
                <w:szCs w:val="24"/>
                <w:lang w:bidi="he-IL"/>
              </w:rPr>
            </w:pPr>
            <w:r w:rsidRPr="00AF2C5E">
              <w:rPr>
                <w:szCs w:val="24"/>
                <w:lang w:bidi="he-IL"/>
              </w:rPr>
              <w:t>1555 (93.0%)</w:t>
            </w:r>
          </w:p>
        </w:tc>
        <w:tc>
          <w:tcPr>
            <w:tcW w:w="1224" w:type="dxa"/>
            <w:tcBorders>
              <w:top w:val="nil"/>
            </w:tcBorders>
          </w:tcPr>
          <w:p w14:paraId="2CB53E3A" w14:textId="77777777" w:rsidR="00AF2C5E" w:rsidRPr="00AF2C5E" w:rsidRDefault="00AF2C5E">
            <w:pPr>
              <w:pStyle w:val="T1b"/>
              <w:keepNext/>
              <w:jc w:val="center"/>
              <w:rPr>
                <w:szCs w:val="24"/>
                <w:lang w:bidi="he-IL"/>
              </w:rPr>
            </w:pPr>
          </w:p>
        </w:tc>
        <w:tc>
          <w:tcPr>
            <w:tcW w:w="1728" w:type="dxa"/>
            <w:tcBorders>
              <w:top w:val="nil"/>
            </w:tcBorders>
          </w:tcPr>
          <w:p w14:paraId="4020FBC8" w14:textId="77777777" w:rsidR="00AF2C5E" w:rsidRPr="00AF2C5E" w:rsidRDefault="00AF2C5E">
            <w:pPr>
              <w:pStyle w:val="T1b"/>
              <w:keepNext/>
              <w:jc w:val="center"/>
              <w:rPr>
                <w:szCs w:val="24"/>
                <w:lang w:bidi="he-IL"/>
              </w:rPr>
            </w:pPr>
          </w:p>
        </w:tc>
      </w:tr>
      <w:tr w:rsidR="00AF2C5E" w:rsidRPr="00AF2C5E" w14:paraId="6719FB47" w14:textId="77777777">
        <w:trPr>
          <w:cantSplit/>
        </w:trPr>
        <w:tc>
          <w:tcPr>
            <w:tcW w:w="3079" w:type="dxa"/>
            <w:tcBorders>
              <w:bottom w:val="nil"/>
            </w:tcBorders>
          </w:tcPr>
          <w:p w14:paraId="4A8D33A6" w14:textId="77777777" w:rsidR="00AF2C5E" w:rsidRPr="00AF2C5E" w:rsidRDefault="00AF2C5E">
            <w:pPr>
              <w:pStyle w:val="T1a"/>
              <w:keepNext/>
              <w:rPr>
                <w:szCs w:val="24"/>
                <w:lang w:bidi="he-IL"/>
              </w:rPr>
            </w:pPr>
            <w:r w:rsidRPr="00AF2C5E">
              <w:rPr>
                <w:noProof/>
                <w:szCs w:val="24"/>
                <w:lang w:bidi="he-IL"/>
              </w:rPr>
              <w:t>Distant recurrence (metastasis)</w:t>
            </w:r>
          </w:p>
        </w:tc>
        <w:tc>
          <w:tcPr>
            <w:tcW w:w="1512" w:type="dxa"/>
            <w:tcBorders>
              <w:bottom w:val="nil"/>
            </w:tcBorders>
          </w:tcPr>
          <w:p w14:paraId="26033EF9" w14:textId="77777777" w:rsidR="00AF2C5E" w:rsidRPr="00AF2C5E" w:rsidRDefault="00AF2C5E">
            <w:pPr>
              <w:pStyle w:val="T1a"/>
              <w:keepNext/>
              <w:jc w:val="center"/>
              <w:rPr>
                <w:szCs w:val="24"/>
                <w:lang w:bidi="he-IL"/>
              </w:rPr>
            </w:pPr>
          </w:p>
        </w:tc>
        <w:tc>
          <w:tcPr>
            <w:tcW w:w="1512" w:type="dxa"/>
            <w:tcBorders>
              <w:bottom w:val="nil"/>
            </w:tcBorders>
          </w:tcPr>
          <w:p w14:paraId="65939DDD" w14:textId="77777777" w:rsidR="00AF2C5E" w:rsidRPr="00AF2C5E" w:rsidRDefault="00AF2C5E">
            <w:pPr>
              <w:pStyle w:val="T1a"/>
              <w:keepNext/>
              <w:jc w:val="center"/>
              <w:rPr>
                <w:szCs w:val="24"/>
                <w:lang w:bidi="he-IL"/>
              </w:rPr>
            </w:pPr>
          </w:p>
        </w:tc>
        <w:tc>
          <w:tcPr>
            <w:tcW w:w="1224" w:type="dxa"/>
            <w:tcBorders>
              <w:bottom w:val="nil"/>
            </w:tcBorders>
          </w:tcPr>
          <w:p w14:paraId="6B1C0518" w14:textId="77777777" w:rsidR="00AF2C5E" w:rsidRPr="00AF2C5E" w:rsidRDefault="00AF2C5E">
            <w:pPr>
              <w:pStyle w:val="T1a"/>
              <w:keepNext/>
              <w:jc w:val="center"/>
              <w:rPr>
                <w:szCs w:val="24"/>
                <w:lang w:bidi="he-IL"/>
              </w:rPr>
            </w:pPr>
          </w:p>
        </w:tc>
        <w:tc>
          <w:tcPr>
            <w:tcW w:w="1728" w:type="dxa"/>
            <w:tcBorders>
              <w:bottom w:val="nil"/>
            </w:tcBorders>
          </w:tcPr>
          <w:p w14:paraId="2CFC5372" w14:textId="77777777" w:rsidR="00AF2C5E" w:rsidRPr="00AF2C5E" w:rsidRDefault="00AF2C5E">
            <w:pPr>
              <w:pStyle w:val="T1a"/>
              <w:keepNext/>
              <w:jc w:val="center"/>
              <w:rPr>
                <w:szCs w:val="24"/>
                <w:lang w:bidi="he-IL"/>
              </w:rPr>
            </w:pPr>
          </w:p>
        </w:tc>
      </w:tr>
      <w:tr w:rsidR="00AF2C5E" w:rsidRPr="00AF2C5E" w14:paraId="39571D44" w14:textId="77777777">
        <w:trPr>
          <w:cantSplit/>
        </w:trPr>
        <w:tc>
          <w:tcPr>
            <w:tcW w:w="3079" w:type="dxa"/>
            <w:tcBorders>
              <w:top w:val="nil"/>
              <w:bottom w:val="nil"/>
            </w:tcBorders>
          </w:tcPr>
          <w:p w14:paraId="6AC9BBD7" w14:textId="77777777" w:rsidR="00AF2C5E" w:rsidRPr="00AF2C5E" w:rsidRDefault="00AF2C5E">
            <w:pPr>
              <w:pStyle w:val="T2"/>
              <w:keepNext/>
              <w:numPr>
                <w:ilvl w:val="0"/>
                <w:numId w:val="23"/>
              </w:numPr>
              <w:tabs>
                <w:tab w:val="clear" w:pos="360"/>
              </w:tabs>
              <w:spacing w:before="0" w:after="0"/>
              <w:rPr>
                <w:szCs w:val="24"/>
                <w:lang w:bidi="he-IL"/>
              </w:rPr>
            </w:pPr>
            <w:r w:rsidRPr="00AF2C5E">
              <w:rPr>
                <w:noProof/>
                <w:szCs w:val="24"/>
                <w:lang w:bidi="he-IL"/>
              </w:rPr>
              <w:t>Patients with event</w:t>
            </w:r>
          </w:p>
        </w:tc>
        <w:tc>
          <w:tcPr>
            <w:tcW w:w="1512" w:type="dxa"/>
            <w:tcBorders>
              <w:top w:val="nil"/>
              <w:bottom w:val="nil"/>
            </w:tcBorders>
          </w:tcPr>
          <w:p w14:paraId="58381A45" w14:textId="77777777" w:rsidR="00AF2C5E" w:rsidRPr="00AF2C5E" w:rsidRDefault="00AF2C5E">
            <w:pPr>
              <w:pStyle w:val="T2"/>
              <w:keepNext/>
              <w:jc w:val="center"/>
              <w:rPr>
                <w:szCs w:val="24"/>
                <w:lang w:bidi="he-IL"/>
              </w:rPr>
            </w:pPr>
            <w:r w:rsidRPr="00AF2C5E">
              <w:rPr>
                <w:szCs w:val="24"/>
                <w:lang w:bidi="he-IL"/>
              </w:rPr>
              <w:t>193 (11.5%)</w:t>
            </w:r>
          </w:p>
        </w:tc>
        <w:tc>
          <w:tcPr>
            <w:tcW w:w="1512" w:type="dxa"/>
            <w:tcBorders>
              <w:top w:val="nil"/>
              <w:bottom w:val="nil"/>
            </w:tcBorders>
          </w:tcPr>
          <w:p w14:paraId="7B54A9F2" w14:textId="77777777" w:rsidR="00AF2C5E" w:rsidRPr="00AF2C5E" w:rsidRDefault="00AF2C5E">
            <w:pPr>
              <w:pStyle w:val="T2"/>
              <w:keepNext/>
              <w:jc w:val="center"/>
              <w:rPr>
                <w:szCs w:val="24"/>
                <w:lang w:bidi="he-IL"/>
              </w:rPr>
            </w:pPr>
            <w:r w:rsidRPr="00AF2C5E">
              <w:rPr>
                <w:szCs w:val="24"/>
                <w:lang w:bidi="he-IL"/>
              </w:rPr>
              <w:t>96 (5.7%)</w:t>
            </w:r>
          </w:p>
        </w:tc>
        <w:tc>
          <w:tcPr>
            <w:tcW w:w="1224" w:type="dxa"/>
            <w:tcBorders>
              <w:top w:val="nil"/>
              <w:bottom w:val="nil"/>
            </w:tcBorders>
          </w:tcPr>
          <w:p w14:paraId="7A08A3CB" w14:textId="77777777" w:rsidR="00AF2C5E" w:rsidRPr="00AF2C5E" w:rsidRDefault="00AF2C5E">
            <w:pPr>
              <w:pStyle w:val="T2"/>
              <w:keepNext/>
              <w:jc w:val="center"/>
              <w:rPr>
                <w:szCs w:val="24"/>
                <w:lang w:bidi="he-IL"/>
              </w:rPr>
            </w:pPr>
            <w:r w:rsidRPr="00AF2C5E">
              <w:rPr>
                <w:szCs w:val="24"/>
                <w:lang w:bidi="he-IL"/>
              </w:rPr>
              <w:t>&lt;0.0001</w:t>
            </w:r>
          </w:p>
        </w:tc>
        <w:tc>
          <w:tcPr>
            <w:tcW w:w="1728" w:type="dxa"/>
            <w:tcBorders>
              <w:top w:val="nil"/>
              <w:bottom w:val="nil"/>
            </w:tcBorders>
          </w:tcPr>
          <w:p w14:paraId="38809EC1" w14:textId="77777777" w:rsidR="00AF2C5E" w:rsidRPr="00AF2C5E" w:rsidRDefault="00AF2C5E">
            <w:pPr>
              <w:pStyle w:val="T2"/>
              <w:keepNext/>
              <w:jc w:val="center"/>
              <w:rPr>
                <w:szCs w:val="24"/>
                <w:lang w:bidi="he-IL"/>
              </w:rPr>
            </w:pPr>
            <w:r w:rsidRPr="00AF2C5E">
              <w:rPr>
                <w:szCs w:val="24"/>
                <w:lang w:bidi="he-IL"/>
              </w:rPr>
              <w:t>0.47 (0.37</w:t>
            </w:r>
            <w:r w:rsidRPr="00AF2C5E">
              <w:rPr>
                <w:szCs w:val="24"/>
                <w:lang w:bidi="he-IL"/>
              </w:rPr>
              <w:noBreakHyphen/>
              <w:t>0.60)</w:t>
            </w:r>
          </w:p>
        </w:tc>
      </w:tr>
      <w:tr w:rsidR="00AF2C5E" w:rsidRPr="00AF2C5E" w14:paraId="22ED74CD" w14:textId="77777777">
        <w:trPr>
          <w:cantSplit/>
        </w:trPr>
        <w:tc>
          <w:tcPr>
            <w:tcW w:w="3079" w:type="dxa"/>
            <w:tcBorders>
              <w:top w:val="nil"/>
            </w:tcBorders>
          </w:tcPr>
          <w:p w14:paraId="5E0A9AA9" w14:textId="77777777" w:rsidR="00AF2C5E" w:rsidRPr="00AF2C5E" w:rsidRDefault="00AF2C5E">
            <w:pPr>
              <w:pStyle w:val="T1b"/>
              <w:keepNext/>
              <w:numPr>
                <w:ilvl w:val="0"/>
                <w:numId w:val="23"/>
              </w:numPr>
              <w:tabs>
                <w:tab w:val="clear" w:pos="360"/>
              </w:tabs>
              <w:rPr>
                <w:szCs w:val="24"/>
                <w:lang w:bidi="he-IL"/>
              </w:rPr>
            </w:pPr>
            <w:r w:rsidRPr="00AF2C5E">
              <w:rPr>
                <w:noProof/>
                <w:szCs w:val="24"/>
                <w:lang w:bidi="he-IL"/>
              </w:rPr>
              <w:t>Patients without event</w:t>
            </w:r>
          </w:p>
        </w:tc>
        <w:tc>
          <w:tcPr>
            <w:tcW w:w="1512" w:type="dxa"/>
            <w:tcBorders>
              <w:top w:val="nil"/>
            </w:tcBorders>
          </w:tcPr>
          <w:p w14:paraId="57DC20E1" w14:textId="77777777" w:rsidR="00AF2C5E" w:rsidRPr="00AF2C5E" w:rsidRDefault="00AF2C5E">
            <w:pPr>
              <w:pStyle w:val="T1b"/>
              <w:keepNext/>
              <w:jc w:val="center"/>
              <w:rPr>
                <w:szCs w:val="24"/>
                <w:lang w:bidi="he-IL"/>
              </w:rPr>
            </w:pPr>
            <w:r w:rsidRPr="00AF2C5E">
              <w:rPr>
                <w:szCs w:val="24"/>
                <w:lang w:bidi="he-IL"/>
              </w:rPr>
              <w:t>1486 (88.5%)</w:t>
            </w:r>
          </w:p>
        </w:tc>
        <w:tc>
          <w:tcPr>
            <w:tcW w:w="1512" w:type="dxa"/>
            <w:tcBorders>
              <w:top w:val="nil"/>
            </w:tcBorders>
          </w:tcPr>
          <w:p w14:paraId="32E64FA0" w14:textId="77777777" w:rsidR="00AF2C5E" w:rsidRPr="00AF2C5E" w:rsidRDefault="00AF2C5E">
            <w:pPr>
              <w:pStyle w:val="T1b"/>
              <w:keepNext/>
              <w:jc w:val="center"/>
              <w:rPr>
                <w:szCs w:val="24"/>
                <w:lang w:bidi="he-IL"/>
              </w:rPr>
            </w:pPr>
            <w:r w:rsidRPr="00AF2C5E">
              <w:rPr>
                <w:szCs w:val="24"/>
                <w:lang w:bidi="he-IL"/>
              </w:rPr>
              <w:t>1576 (94.3%)</w:t>
            </w:r>
          </w:p>
        </w:tc>
        <w:tc>
          <w:tcPr>
            <w:tcW w:w="1224" w:type="dxa"/>
            <w:tcBorders>
              <w:top w:val="nil"/>
            </w:tcBorders>
          </w:tcPr>
          <w:p w14:paraId="48897894" w14:textId="77777777" w:rsidR="00AF2C5E" w:rsidRPr="00AF2C5E" w:rsidRDefault="00AF2C5E">
            <w:pPr>
              <w:pStyle w:val="T1b"/>
              <w:keepNext/>
              <w:jc w:val="center"/>
              <w:rPr>
                <w:szCs w:val="24"/>
                <w:lang w:bidi="he-IL"/>
              </w:rPr>
            </w:pPr>
          </w:p>
        </w:tc>
        <w:tc>
          <w:tcPr>
            <w:tcW w:w="1728" w:type="dxa"/>
            <w:tcBorders>
              <w:top w:val="nil"/>
            </w:tcBorders>
          </w:tcPr>
          <w:p w14:paraId="5CE39C3B" w14:textId="77777777" w:rsidR="00AF2C5E" w:rsidRPr="00AF2C5E" w:rsidRDefault="00AF2C5E">
            <w:pPr>
              <w:pStyle w:val="T1b"/>
              <w:keepNext/>
              <w:jc w:val="center"/>
              <w:rPr>
                <w:szCs w:val="24"/>
                <w:lang w:bidi="he-IL"/>
              </w:rPr>
            </w:pPr>
          </w:p>
        </w:tc>
      </w:tr>
      <w:tr w:rsidR="00AF2C5E" w:rsidRPr="00AF2C5E" w14:paraId="259BB495" w14:textId="77777777">
        <w:trPr>
          <w:cantSplit/>
        </w:trPr>
        <w:tc>
          <w:tcPr>
            <w:tcW w:w="3079" w:type="dxa"/>
            <w:tcBorders>
              <w:bottom w:val="nil"/>
            </w:tcBorders>
          </w:tcPr>
          <w:p w14:paraId="0AA6AF7F" w14:textId="77777777" w:rsidR="00AF2C5E" w:rsidRPr="00AF2C5E" w:rsidRDefault="00AF2C5E">
            <w:pPr>
              <w:pStyle w:val="T1a"/>
              <w:keepNext/>
              <w:rPr>
                <w:szCs w:val="24"/>
                <w:lang w:bidi="he-IL"/>
              </w:rPr>
            </w:pPr>
            <w:r w:rsidRPr="00AF2C5E">
              <w:rPr>
                <w:noProof/>
                <w:szCs w:val="24"/>
                <w:lang w:bidi="he-IL"/>
              </w:rPr>
              <w:t>Overall survival</w:t>
            </w:r>
          </w:p>
        </w:tc>
        <w:tc>
          <w:tcPr>
            <w:tcW w:w="1512" w:type="dxa"/>
            <w:tcBorders>
              <w:bottom w:val="nil"/>
            </w:tcBorders>
          </w:tcPr>
          <w:p w14:paraId="37A75881" w14:textId="77777777" w:rsidR="00AF2C5E" w:rsidRPr="00AF2C5E" w:rsidRDefault="00AF2C5E">
            <w:pPr>
              <w:pStyle w:val="T1a"/>
              <w:keepNext/>
              <w:jc w:val="center"/>
              <w:rPr>
                <w:szCs w:val="24"/>
                <w:lang w:bidi="he-IL"/>
              </w:rPr>
            </w:pPr>
          </w:p>
        </w:tc>
        <w:tc>
          <w:tcPr>
            <w:tcW w:w="1512" w:type="dxa"/>
            <w:tcBorders>
              <w:bottom w:val="nil"/>
            </w:tcBorders>
          </w:tcPr>
          <w:p w14:paraId="29FB1DA3" w14:textId="77777777" w:rsidR="00AF2C5E" w:rsidRPr="00AF2C5E" w:rsidRDefault="00AF2C5E">
            <w:pPr>
              <w:pStyle w:val="T1a"/>
              <w:keepNext/>
              <w:jc w:val="center"/>
              <w:rPr>
                <w:szCs w:val="24"/>
                <w:lang w:bidi="he-IL"/>
              </w:rPr>
            </w:pPr>
          </w:p>
        </w:tc>
        <w:tc>
          <w:tcPr>
            <w:tcW w:w="1224" w:type="dxa"/>
            <w:tcBorders>
              <w:bottom w:val="nil"/>
            </w:tcBorders>
          </w:tcPr>
          <w:p w14:paraId="21ACC8B7" w14:textId="77777777" w:rsidR="00AF2C5E" w:rsidRPr="00AF2C5E" w:rsidRDefault="00AF2C5E">
            <w:pPr>
              <w:pStyle w:val="T1a"/>
              <w:keepNext/>
              <w:jc w:val="center"/>
              <w:rPr>
                <w:szCs w:val="24"/>
                <w:lang w:bidi="he-IL"/>
              </w:rPr>
            </w:pPr>
          </w:p>
        </w:tc>
        <w:tc>
          <w:tcPr>
            <w:tcW w:w="1728" w:type="dxa"/>
            <w:tcBorders>
              <w:bottom w:val="nil"/>
            </w:tcBorders>
          </w:tcPr>
          <w:p w14:paraId="7C9CC76E" w14:textId="77777777" w:rsidR="00AF2C5E" w:rsidRPr="00AF2C5E" w:rsidRDefault="00AF2C5E">
            <w:pPr>
              <w:pStyle w:val="T1a"/>
              <w:keepNext/>
              <w:jc w:val="center"/>
              <w:rPr>
                <w:szCs w:val="24"/>
                <w:lang w:bidi="he-IL"/>
              </w:rPr>
            </w:pPr>
          </w:p>
        </w:tc>
      </w:tr>
      <w:tr w:rsidR="00AF2C5E" w:rsidRPr="00AF2C5E" w14:paraId="554021D7" w14:textId="77777777">
        <w:trPr>
          <w:cantSplit/>
        </w:trPr>
        <w:tc>
          <w:tcPr>
            <w:tcW w:w="3079" w:type="dxa"/>
            <w:tcBorders>
              <w:top w:val="nil"/>
              <w:bottom w:val="nil"/>
            </w:tcBorders>
          </w:tcPr>
          <w:p w14:paraId="616B8813" w14:textId="77777777" w:rsidR="00AF2C5E" w:rsidRPr="00AF2C5E" w:rsidRDefault="00AF2C5E">
            <w:pPr>
              <w:pStyle w:val="T2"/>
              <w:keepNext/>
              <w:numPr>
                <w:ilvl w:val="0"/>
                <w:numId w:val="23"/>
              </w:numPr>
              <w:tabs>
                <w:tab w:val="clear" w:pos="360"/>
              </w:tabs>
              <w:spacing w:before="0" w:after="0"/>
              <w:rPr>
                <w:szCs w:val="24"/>
                <w:lang w:bidi="he-IL"/>
              </w:rPr>
            </w:pPr>
            <w:r w:rsidRPr="00AF2C5E">
              <w:rPr>
                <w:noProof/>
                <w:szCs w:val="24"/>
                <w:lang w:bidi="he-IL"/>
              </w:rPr>
              <w:t>Patients with event</w:t>
            </w:r>
          </w:p>
        </w:tc>
        <w:tc>
          <w:tcPr>
            <w:tcW w:w="1512" w:type="dxa"/>
            <w:tcBorders>
              <w:top w:val="nil"/>
              <w:bottom w:val="nil"/>
            </w:tcBorders>
          </w:tcPr>
          <w:p w14:paraId="755039D5" w14:textId="77777777" w:rsidR="00AF2C5E" w:rsidRPr="00AF2C5E" w:rsidRDefault="00AF2C5E">
            <w:pPr>
              <w:pStyle w:val="T2"/>
              <w:keepNext/>
              <w:jc w:val="center"/>
              <w:rPr>
                <w:szCs w:val="24"/>
                <w:lang w:bidi="he-IL"/>
              </w:rPr>
            </w:pPr>
            <w:r w:rsidRPr="00AF2C5E">
              <w:rPr>
                <w:szCs w:val="24"/>
                <w:lang w:bidi="he-IL"/>
              </w:rPr>
              <w:t>92 (5.5%)</w:t>
            </w:r>
          </w:p>
        </w:tc>
        <w:tc>
          <w:tcPr>
            <w:tcW w:w="1512" w:type="dxa"/>
            <w:tcBorders>
              <w:top w:val="nil"/>
              <w:bottom w:val="nil"/>
            </w:tcBorders>
          </w:tcPr>
          <w:p w14:paraId="21C7A707" w14:textId="77777777" w:rsidR="00AF2C5E" w:rsidRPr="00AF2C5E" w:rsidRDefault="00AF2C5E">
            <w:pPr>
              <w:pStyle w:val="T2"/>
              <w:keepNext/>
              <w:jc w:val="center"/>
              <w:rPr>
                <w:szCs w:val="24"/>
                <w:lang w:bidi="he-IL"/>
              </w:rPr>
            </w:pPr>
            <w:r w:rsidRPr="00AF2C5E">
              <w:rPr>
                <w:szCs w:val="24"/>
                <w:lang w:bidi="he-IL"/>
              </w:rPr>
              <w:t>62 (3.7%)</w:t>
            </w:r>
          </w:p>
        </w:tc>
        <w:tc>
          <w:tcPr>
            <w:tcW w:w="1224" w:type="dxa"/>
            <w:tcBorders>
              <w:top w:val="nil"/>
              <w:bottom w:val="nil"/>
            </w:tcBorders>
          </w:tcPr>
          <w:p w14:paraId="035F7AC2" w14:textId="77777777" w:rsidR="00AF2C5E" w:rsidRPr="00AF2C5E" w:rsidRDefault="00AF2C5E">
            <w:pPr>
              <w:pStyle w:val="T2"/>
              <w:keepNext/>
              <w:jc w:val="center"/>
              <w:rPr>
                <w:szCs w:val="24"/>
                <w:lang w:bidi="he-IL"/>
              </w:rPr>
            </w:pPr>
            <w:r w:rsidRPr="00AF2C5E">
              <w:rPr>
                <w:szCs w:val="24"/>
                <w:lang w:bidi="he-IL"/>
              </w:rPr>
              <w:t>0.014**</w:t>
            </w:r>
          </w:p>
        </w:tc>
        <w:tc>
          <w:tcPr>
            <w:tcW w:w="1728" w:type="dxa"/>
            <w:tcBorders>
              <w:top w:val="nil"/>
              <w:bottom w:val="nil"/>
            </w:tcBorders>
          </w:tcPr>
          <w:p w14:paraId="00F51556" w14:textId="77777777" w:rsidR="00AF2C5E" w:rsidRPr="00AF2C5E" w:rsidRDefault="00AF2C5E">
            <w:pPr>
              <w:pStyle w:val="T2"/>
              <w:keepNext/>
              <w:jc w:val="center"/>
              <w:rPr>
                <w:szCs w:val="24"/>
                <w:lang w:bidi="he-IL"/>
              </w:rPr>
            </w:pPr>
            <w:r w:rsidRPr="00AF2C5E">
              <w:rPr>
                <w:szCs w:val="24"/>
                <w:lang w:bidi="he-IL"/>
              </w:rPr>
              <w:t>0.67 (0.48</w:t>
            </w:r>
            <w:r w:rsidRPr="00AF2C5E">
              <w:rPr>
                <w:szCs w:val="24"/>
                <w:lang w:bidi="he-IL"/>
              </w:rPr>
              <w:noBreakHyphen/>
              <w:t>0.92)</w:t>
            </w:r>
          </w:p>
        </w:tc>
      </w:tr>
      <w:tr w:rsidR="00AF2C5E" w:rsidRPr="00AF2C5E" w14:paraId="516B83A5" w14:textId="77777777">
        <w:trPr>
          <w:cantSplit/>
        </w:trPr>
        <w:tc>
          <w:tcPr>
            <w:tcW w:w="3079" w:type="dxa"/>
            <w:tcBorders>
              <w:top w:val="nil"/>
            </w:tcBorders>
          </w:tcPr>
          <w:p w14:paraId="185F0548" w14:textId="77777777" w:rsidR="00AF2C5E" w:rsidRPr="00AF2C5E" w:rsidRDefault="00AF2C5E">
            <w:pPr>
              <w:pStyle w:val="T1b"/>
              <w:keepNext/>
              <w:numPr>
                <w:ilvl w:val="0"/>
                <w:numId w:val="23"/>
              </w:numPr>
              <w:tabs>
                <w:tab w:val="clear" w:pos="360"/>
              </w:tabs>
              <w:rPr>
                <w:szCs w:val="24"/>
                <w:lang w:bidi="he-IL"/>
              </w:rPr>
            </w:pPr>
            <w:r w:rsidRPr="00AF2C5E">
              <w:rPr>
                <w:noProof/>
                <w:szCs w:val="24"/>
                <w:lang w:bidi="he-IL"/>
              </w:rPr>
              <w:t>Patients without event</w:t>
            </w:r>
          </w:p>
        </w:tc>
        <w:tc>
          <w:tcPr>
            <w:tcW w:w="1512" w:type="dxa"/>
            <w:tcBorders>
              <w:top w:val="nil"/>
            </w:tcBorders>
          </w:tcPr>
          <w:p w14:paraId="105A67BC" w14:textId="77777777" w:rsidR="00AF2C5E" w:rsidRPr="00AF2C5E" w:rsidRDefault="00AF2C5E">
            <w:pPr>
              <w:pStyle w:val="T1b"/>
              <w:keepNext/>
              <w:jc w:val="center"/>
              <w:rPr>
                <w:szCs w:val="24"/>
                <w:lang w:bidi="he-IL"/>
              </w:rPr>
            </w:pPr>
            <w:r w:rsidRPr="00AF2C5E">
              <w:rPr>
                <w:szCs w:val="24"/>
                <w:lang w:bidi="he-IL"/>
              </w:rPr>
              <w:t>1587 (94.5%)</w:t>
            </w:r>
          </w:p>
        </w:tc>
        <w:tc>
          <w:tcPr>
            <w:tcW w:w="1512" w:type="dxa"/>
            <w:tcBorders>
              <w:top w:val="nil"/>
            </w:tcBorders>
          </w:tcPr>
          <w:p w14:paraId="774A6332" w14:textId="77777777" w:rsidR="00AF2C5E" w:rsidRPr="00AF2C5E" w:rsidRDefault="00AF2C5E">
            <w:pPr>
              <w:pStyle w:val="T1b"/>
              <w:keepNext/>
              <w:jc w:val="center"/>
              <w:rPr>
                <w:szCs w:val="24"/>
                <w:lang w:bidi="he-IL"/>
              </w:rPr>
            </w:pPr>
            <w:r w:rsidRPr="00AF2C5E">
              <w:rPr>
                <w:szCs w:val="24"/>
                <w:lang w:bidi="he-IL"/>
              </w:rPr>
              <w:t>1610 (96.3%)</w:t>
            </w:r>
          </w:p>
        </w:tc>
        <w:tc>
          <w:tcPr>
            <w:tcW w:w="1224" w:type="dxa"/>
            <w:tcBorders>
              <w:top w:val="nil"/>
            </w:tcBorders>
          </w:tcPr>
          <w:p w14:paraId="7BCC7570" w14:textId="77777777" w:rsidR="00AF2C5E" w:rsidRPr="00AF2C5E" w:rsidRDefault="00AF2C5E">
            <w:pPr>
              <w:pStyle w:val="T1b"/>
              <w:keepNext/>
              <w:jc w:val="center"/>
              <w:rPr>
                <w:szCs w:val="24"/>
                <w:lang w:bidi="he-IL"/>
              </w:rPr>
            </w:pPr>
          </w:p>
        </w:tc>
        <w:tc>
          <w:tcPr>
            <w:tcW w:w="1728" w:type="dxa"/>
            <w:tcBorders>
              <w:top w:val="nil"/>
            </w:tcBorders>
          </w:tcPr>
          <w:p w14:paraId="6DC248B0" w14:textId="77777777" w:rsidR="00AF2C5E" w:rsidRPr="00AF2C5E" w:rsidRDefault="00AF2C5E">
            <w:pPr>
              <w:pStyle w:val="T1b"/>
              <w:keepNext/>
              <w:jc w:val="center"/>
              <w:rPr>
                <w:szCs w:val="24"/>
                <w:lang w:bidi="he-IL"/>
              </w:rPr>
            </w:pPr>
          </w:p>
        </w:tc>
      </w:tr>
    </w:tbl>
    <w:p w14:paraId="24A62696" w14:textId="77777777" w:rsidR="00AF2C5E" w:rsidRDefault="00AF2C5E">
      <w:pPr>
        <w:pStyle w:val="T1a"/>
        <w:keepNext/>
        <w:keepLines/>
        <w:ind w:left="360" w:hanging="360"/>
        <w:rPr>
          <w:szCs w:val="24"/>
          <w:lang w:bidi="he-IL"/>
        </w:rPr>
      </w:pPr>
      <w:r>
        <w:rPr>
          <w:szCs w:val="24"/>
          <w:lang w:bidi="he-IL"/>
        </w:rPr>
        <w:t>*</w:t>
      </w:r>
      <w:r>
        <w:rPr>
          <w:szCs w:val="24"/>
          <w:lang w:bidi="he-IL"/>
        </w:rPr>
        <w:tab/>
      </w:r>
      <w:r>
        <w:rPr>
          <w:noProof/>
          <w:szCs w:val="24"/>
          <w:lang w:bidi="he-IL"/>
        </w:rPr>
        <w:t>with median follow-up of 1.8 years for patients in the AC→P arm and 2.0 years for patients in the AC→PH arm</w:t>
      </w:r>
    </w:p>
    <w:p w14:paraId="15231393" w14:textId="77777777" w:rsidR="00AF2C5E" w:rsidRDefault="00AF2C5E">
      <w:pPr>
        <w:pStyle w:val="T1b"/>
        <w:keepLines/>
        <w:ind w:left="360" w:hanging="360"/>
        <w:rPr>
          <w:szCs w:val="24"/>
          <w:lang w:bidi="he-IL"/>
        </w:rPr>
      </w:pPr>
      <w:r>
        <w:rPr>
          <w:szCs w:val="24"/>
          <w:lang w:bidi="he-IL"/>
        </w:rPr>
        <w:t>**</w:t>
      </w:r>
      <w:r>
        <w:rPr>
          <w:szCs w:val="24"/>
          <w:lang w:bidi="he-IL"/>
        </w:rPr>
        <w:tab/>
      </w:r>
      <w:r>
        <w:rPr>
          <w:noProof/>
          <w:szCs w:val="24"/>
          <w:lang w:bidi="he-IL"/>
        </w:rPr>
        <w:t>p value for overall survival did not cross the pre-specified statistical boundary for comparison of AC→PH vs AC→P.</w:t>
      </w:r>
    </w:p>
    <w:p w14:paraId="7DB2A206" w14:textId="77777777" w:rsidR="00AF2C5E" w:rsidRDefault="00AF2C5E">
      <w:pPr>
        <w:pStyle w:val="J2"/>
      </w:pPr>
      <w:r>
        <w:t>For the primary endpoint, disease-free survival, the addition of Herceptin to paclitaxel chemotherapy resulted in a 52% decrease in the risk of disease recurrence. In terms of the 3-year disease-free survival rate, the hazard ratio reflects an absolute benefit of 11.8 percentage points (87.2% vs 75.4%) in favour of the AC→PH (Herceptin) arm.</w:t>
      </w:r>
    </w:p>
    <w:p w14:paraId="48FEC627" w14:textId="77777777" w:rsidR="00AF2C5E" w:rsidRDefault="00AF2C5E">
      <w:pPr>
        <w:pStyle w:val="J1"/>
      </w:pPr>
      <w:r>
        <w:t>The pre-planned final analysis of overall survival from the joint analysis of studies NSABP B</w:t>
      </w:r>
      <w:r>
        <w:noBreakHyphen/>
        <w:t xml:space="preserve">31 and NCCTG N9831 was performed when 707 deaths had occurred (median follow-up 8.3 years in the AC→PH group). Treatment with AC→PH resulted in a statistically significant improvement in overall survival compared with AC→P (stratified HR=0.64; 95% CI [0.55, 0.74]; log-rank p value &lt;0.0001). </w:t>
      </w:r>
      <w:r>
        <w:lastRenderedPageBreak/>
        <w:t>At 8 years, the survival rate was estimated to be 86.9% in the AC→PH arm and 79.4% in the AC→P arm, corresponding to an absolute benefit of 7.4% (95% CI: 4.9%, 10.0%).</w:t>
      </w:r>
    </w:p>
    <w:p w14:paraId="71049750" w14:textId="77777777" w:rsidR="00AF2C5E" w:rsidRDefault="00AF2C5E">
      <w:pPr>
        <w:pStyle w:val="J2"/>
      </w:pPr>
      <w:r>
        <w:t>Study BCIRG 006 investigated the combination of Herceptin and docetaxel either following AC chemotherapy or combined with carboplatin in patients with HER2-positive early breast cancer following surgery.</w:t>
      </w:r>
    </w:p>
    <w:p w14:paraId="582DCD66" w14:textId="77777777" w:rsidR="00AF2C5E" w:rsidRDefault="00AF2C5E">
      <w:pPr>
        <w:rPr>
          <w:rFonts w:ascii="Times New Roman" w:hAnsi="Times New Roman"/>
        </w:rPr>
      </w:pPr>
      <w:r>
        <w:rPr>
          <w:rFonts w:ascii="Times New Roman" w:hAnsi="Times New Roman" w:cs="Arial"/>
          <w:noProof/>
          <w:szCs w:val="24"/>
          <w:lang w:bidi="he-IL"/>
        </w:rPr>
        <w:t>In study BCIRG 006, HER2-positive early breast cancer was restricted to either lymph node-positive patients or node-negative patients at high risk, defined as negative (pN0) lymph node involvement and at least 1 of the following factors:</w:t>
      </w:r>
      <w:r>
        <w:rPr>
          <w:rFonts w:ascii="Times New Roman" w:hAnsi="Times New Roman" w:cs="Arial"/>
          <w:szCs w:val="24"/>
          <w:lang w:bidi="he-IL"/>
        </w:rPr>
        <w:t xml:space="preserve"> </w:t>
      </w:r>
      <w:r>
        <w:rPr>
          <w:rFonts w:ascii="Times New Roman" w:hAnsi="Times New Roman" w:cs="Arial"/>
          <w:noProof/>
          <w:szCs w:val="24"/>
          <w:lang w:bidi="he-IL"/>
        </w:rPr>
        <w:t>tumour size &gt;2 cm, oestrogen receptor- and progesterone receptor-negative, histological and/or nuclear grade 2</w:t>
      </w:r>
      <w:r>
        <w:rPr>
          <w:rFonts w:ascii="Times New Roman" w:hAnsi="Times New Roman" w:cs="Arial"/>
          <w:noProof/>
          <w:szCs w:val="24"/>
          <w:lang w:bidi="he-IL"/>
        </w:rPr>
        <w:noBreakHyphen/>
        <w:t>3 or age &lt;35 years).</w:t>
      </w:r>
    </w:p>
    <w:p w14:paraId="702DAD46" w14:textId="77777777" w:rsidR="00AF2C5E" w:rsidRDefault="00AF2C5E">
      <w:pPr>
        <w:pStyle w:val="J1"/>
      </w:pPr>
      <w:r>
        <w:t>In study BCIRG 006, Herceptin was administered either in combination with docetaxel following AC chemotherapy (AC→DH) or in combination with docetaxel and carboplatin (DCarbH).</w:t>
      </w:r>
    </w:p>
    <w:p w14:paraId="235D53DD" w14:textId="77777777" w:rsidR="00AF2C5E" w:rsidRDefault="00AF2C5E">
      <w:pPr>
        <w:pStyle w:val="J1"/>
      </w:pPr>
      <w:r>
        <w:t>Docetaxel was administered as follows:</w:t>
      </w:r>
    </w:p>
    <w:p w14:paraId="4E66FB75" w14:textId="77777777" w:rsidR="00AF2C5E" w:rsidRDefault="00AF2C5E">
      <w:pPr>
        <w:pStyle w:val="J1"/>
        <w:numPr>
          <w:ilvl w:val="0"/>
          <w:numId w:val="24"/>
        </w:numPr>
        <w:ind w:left="360"/>
      </w:pPr>
      <w:r>
        <w:t>100 mg/m</w:t>
      </w:r>
      <w:r>
        <w:rPr>
          <w:vertAlign w:val="superscript"/>
        </w:rPr>
        <w:t>2</w:t>
      </w:r>
      <w:r>
        <w:t xml:space="preserve"> as an i.v. infusion over 1 hour, given every 3 weeks for 4 cycles (day 2 of docetaxel cycle 1, then day 1 of each subsequent cycle)</w:t>
      </w:r>
    </w:p>
    <w:p w14:paraId="5FC99DDB" w14:textId="77777777" w:rsidR="00AF2C5E" w:rsidRDefault="00AF2C5E">
      <w:pPr>
        <w:pStyle w:val="J1"/>
      </w:pPr>
      <w:r>
        <w:t>or</w:t>
      </w:r>
    </w:p>
    <w:p w14:paraId="54B9B90B" w14:textId="77777777" w:rsidR="00AF2C5E" w:rsidRDefault="00AF2C5E">
      <w:pPr>
        <w:pStyle w:val="J1"/>
        <w:numPr>
          <w:ilvl w:val="0"/>
          <w:numId w:val="24"/>
        </w:numPr>
        <w:ind w:left="360"/>
      </w:pPr>
      <w:r>
        <w:t>75 mg/m</w:t>
      </w:r>
      <w:r>
        <w:rPr>
          <w:vertAlign w:val="superscript"/>
        </w:rPr>
        <w:t>2</w:t>
      </w:r>
      <w:r>
        <w:t xml:space="preserve"> as an i.v. infusion over 1 hour, given every 3 weeks for 6 cycles (day 2 of cycle 1, then day 1 of each subsequent cycle)</w:t>
      </w:r>
    </w:p>
    <w:p w14:paraId="73FCB6B5" w14:textId="77777777" w:rsidR="00AF2C5E" w:rsidRDefault="00AF2C5E">
      <w:pPr>
        <w:pStyle w:val="J1"/>
      </w:pPr>
      <w:r>
        <w:t>followed by carboplatin at a target AUC of 6 mg/ml/min as an i.v. infusion over 30</w:t>
      </w:r>
      <w:r>
        <w:noBreakHyphen/>
        <w:t>60 minutes, administered every 3 weeks for a total of six cycles.</w:t>
      </w:r>
    </w:p>
    <w:p w14:paraId="40FA242E" w14:textId="77777777" w:rsidR="00AF2C5E" w:rsidRDefault="00AF2C5E">
      <w:pPr>
        <w:pStyle w:val="J1"/>
      </w:pPr>
      <w:r>
        <w:t>Herceptin i.v. was administered weekly with chemotherapy: initial dose of 4 mg/kg body weight as a 90-minute infusion, followed by 2 mg/kg body weight as a 30-minute infusion. After the end of treatment with chemotherapy, Herceptin was administered every 3 weeks (initial dose 8 mg/kg body weight as a 90-minute infusion, followed by 6 mg/kg body weight as a 30-minute infusion). Treatment with Herceptin was continued for a period of 1 year from the time of first administration.</w:t>
      </w:r>
    </w:p>
    <w:p w14:paraId="574ADE3D" w14:textId="77777777" w:rsidR="00AF2C5E" w:rsidRDefault="00AF2C5E">
      <w:pPr>
        <w:pStyle w:val="J1"/>
      </w:pPr>
      <w:r>
        <w:t>The median duration of follow-up was 2.9 years in the AC→D arm and 3.0 years in both the AC→DH and DCarbH arm.</w:t>
      </w:r>
    </w:p>
    <w:p w14:paraId="6E3CA8B8" w14:textId="77777777" w:rsidR="00AF2C5E" w:rsidRDefault="00AF2C5E">
      <w:pPr>
        <w:pStyle w:val="J1"/>
      </w:pPr>
      <w:r>
        <w:t>The efficacy results from the BCIRG 006 study are summarised in the following tables:</w:t>
      </w:r>
    </w:p>
    <w:p w14:paraId="28217D87" w14:textId="77777777" w:rsidR="00AF2C5E" w:rsidRDefault="00AF2C5E">
      <w:pPr>
        <w:pStyle w:val="THead2"/>
      </w:pPr>
      <w:r>
        <w:t>Overview of AC→D versus AC→DH efficacy analyses (study BCIRG 006)</w:t>
      </w:r>
    </w:p>
    <w:tbl>
      <w:tblPr>
        <w:tblW w:w="9055" w:type="dxa"/>
        <w:tblInd w:w="115" w:type="dxa"/>
        <w:tblLayout w:type="fixed"/>
        <w:tblCellMar>
          <w:left w:w="72" w:type="dxa"/>
          <w:right w:w="72" w:type="dxa"/>
        </w:tblCellMar>
        <w:tblLook w:val="0000" w:firstRow="0" w:lastRow="0" w:firstColumn="0" w:lastColumn="0" w:noHBand="0" w:noVBand="0"/>
      </w:tblPr>
      <w:tblGrid>
        <w:gridCol w:w="3583"/>
        <w:gridCol w:w="1368"/>
        <w:gridCol w:w="1368"/>
        <w:gridCol w:w="1152"/>
        <w:gridCol w:w="1584"/>
      </w:tblGrid>
      <w:tr w:rsidR="00AF2C5E" w:rsidRPr="00AF2C5E" w14:paraId="5CC77277" w14:textId="77777777">
        <w:trPr>
          <w:cantSplit/>
        </w:trPr>
        <w:tc>
          <w:tcPr>
            <w:tcW w:w="3583" w:type="dxa"/>
            <w:tcBorders>
              <w:top w:val="single" w:sz="4" w:space="0" w:color="auto"/>
              <w:left w:val="nil"/>
              <w:bottom w:val="single" w:sz="4" w:space="0" w:color="auto"/>
              <w:right w:val="single" w:sz="4" w:space="0" w:color="auto"/>
            </w:tcBorders>
          </w:tcPr>
          <w:p w14:paraId="27D96010" w14:textId="77777777" w:rsidR="00AF2C5E" w:rsidRPr="00AF2C5E" w:rsidRDefault="00AF2C5E">
            <w:pPr>
              <w:pStyle w:val="T1"/>
              <w:keepNext/>
              <w:rPr>
                <w:rFonts w:cs="Arial"/>
                <w:szCs w:val="24"/>
              </w:rPr>
            </w:pPr>
            <w:r w:rsidRPr="00AF2C5E">
              <w:rPr>
                <w:rFonts w:cs="Arial"/>
                <w:szCs w:val="24"/>
              </w:rPr>
              <w:t>Parameter</w:t>
            </w:r>
          </w:p>
        </w:tc>
        <w:tc>
          <w:tcPr>
            <w:tcW w:w="1368" w:type="dxa"/>
            <w:tcBorders>
              <w:top w:val="single" w:sz="4" w:space="0" w:color="auto"/>
              <w:left w:val="single" w:sz="4" w:space="0" w:color="auto"/>
              <w:bottom w:val="single" w:sz="4" w:space="0" w:color="auto"/>
              <w:right w:val="single" w:sz="4" w:space="0" w:color="auto"/>
            </w:tcBorders>
          </w:tcPr>
          <w:p w14:paraId="59470C3E" w14:textId="77777777" w:rsidR="00AF2C5E" w:rsidRPr="00AF2C5E" w:rsidRDefault="00AF2C5E">
            <w:pPr>
              <w:pStyle w:val="T1"/>
              <w:keepNext/>
              <w:jc w:val="center"/>
              <w:rPr>
                <w:rFonts w:cs="Arial"/>
                <w:szCs w:val="24"/>
              </w:rPr>
            </w:pPr>
            <w:r w:rsidRPr="00AF2C5E">
              <w:rPr>
                <w:rFonts w:cs="Arial"/>
                <w:szCs w:val="24"/>
              </w:rPr>
              <w:t>AC→D</w:t>
            </w:r>
            <w:r w:rsidRPr="00AF2C5E">
              <w:rPr>
                <w:rFonts w:cs="Arial"/>
                <w:szCs w:val="24"/>
              </w:rPr>
              <w:br/>
              <w:t>(n=1073)</w:t>
            </w:r>
          </w:p>
        </w:tc>
        <w:tc>
          <w:tcPr>
            <w:tcW w:w="1368" w:type="dxa"/>
            <w:tcBorders>
              <w:top w:val="single" w:sz="4" w:space="0" w:color="auto"/>
              <w:left w:val="single" w:sz="4" w:space="0" w:color="auto"/>
              <w:bottom w:val="single" w:sz="4" w:space="0" w:color="auto"/>
              <w:right w:val="single" w:sz="4" w:space="0" w:color="auto"/>
            </w:tcBorders>
          </w:tcPr>
          <w:p w14:paraId="15AD9CD7" w14:textId="77777777" w:rsidR="00AF2C5E" w:rsidRPr="00AF2C5E" w:rsidRDefault="00AF2C5E">
            <w:pPr>
              <w:pStyle w:val="T1"/>
              <w:keepNext/>
              <w:jc w:val="center"/>
              <w:rPr>
                <w:rFonts w:cs="Arial"/>
                <w:szCs w:val="24"/>
              </w:rPr>
            </w:pPr>
            <w:r w:rsidRPr="00AF2C5E">
              <w:rPr>
                <w:rFonts w:cs="Arial"/>
                <w:szCs w:val="24"/>
              </w:rPr>
              <w:t>AC→DH</w:t>
            </w:r>
            <w:r w:rsidRPr="00AF2C5E">
              <w:rPr>
                <w:rFonts w:cs="Arial"/>
                <w:szCs w:val="24"/>
              </w:rPr>
              <w:br/>
              <w:t>(n=1074)</w:t>
            </w:r>
          </w:p>
        </w:tc>
        <w:tc>
          <w:tcPr>
            <w:tcW w:w="1152" w:type="dxa"/>
            <w:tcBorders>
              <w:top w:val="single" w:sz="4" w:space="0" w:color="auto"/>
              <w:left w:val="single" w:sz="4" w:space="0" w:color="auto"/>
              <w:bottom w:val="single" w:sz="4" w:space="0" w:color="auto"/>
              <w:right w:val="single" w:sz="4" w:space="0" w:color="auto"/>
            </w:tcBorders>
          </w:tcPr>
          <w:p w14:paraId="40669050" w14:textId="77777777" w:rsidR="00AF2C5E" w:rsidRPr="00AF2C5E" w:rsidRDefault="00AF2C5E">
            <w:pPr>
              <w:pStyle w:val="T1"/>
              <w:keepNext/>
              <w:jc w:val="center"/>
              <w:rPr>
                <w:rFonts w:cs="Arial"/>
                <w:szCs w:val="24"/>
              </w:rPr>
            </w:pPr>
            <w:r w:rsidRPr="00AF2C5E">
              <w:rPr>
                <w:rFonts w:cs="Arial"/>
                <w:szCs w:val="24"/>
              </w:rPr>
              <w:t>p value vs AC→D</w:t>
            </w:r>
            <w:r w:rsidRPr="00AF2C5E">
              <w:rPr>
                <w:rFonts w:cs="Arial"/>
                <w:szCs w:val="24"/>
              </w:rPr>
              <w:br/>
              <w:t>(log-rank)</w:t>
            </w:r>
          </w:p>
        </w:tc>
        <w:tc>
          <w:tcPr>
            <w:tcW w:w="1584" w:type="dxa"/>
            <w:tcBorders>
              <w:top w:val="single" w:sz="4" w:space="0" w:color="auto"/>
              <w:left w:val="single" w:sz="4" w:space="0" w:color="auto"/>
              <w:bottom w:val="single" w:sz="4" w:space="0" w:color="auto"/>
              <w:right w:val="nil"/>
            </w:tcBorders>
          </w:tcPr>
          <w:p w14:paraId="39BB2D59" w14:textId="77777777" w:rsidR="00AF2C5E" w:rsidRPr="00AF2C5E" w:rsidRDefault="00AF2C5E">
            <w:pPr>
              <w:pStyle w:val="T1"/>
              <w:keepNext/>
              <w:jc w:val="center"/>
              <w:rPr>
                <w:rFonts w:cs="Arial"/>
                <w:szCs w:val="24"/>
              </w:rPr>
            </w:pPr>
            <w:r w:rsidRPr="00AF2C5E">
              <w:rPr>
                <w:rFonts w:cs="Arial"/>
                <w:szCs w:val="24"/>
              </w:rPr>
              <w:t>Hazard ratio vs AC→D</w:t>
            </w:r>
            <w:r w:rsidRPr="00AF2C5E">
              <w:rPr>
                <w:rFonts w:cs="Arial"/>
                <w:szCs w:val="24"/>
              </w:rPr>
              <w:br/>
              <w:t>(95% CI)</w:t>
            </w:r>
          </w:p>
        </w:tc>
      </w:tr>
      <w:tr w:rsidR="00AF2C5E" w:rsidRPr="00AF2C5E" w14:paraId="010FBEBF" w14:textId="77777777">
        <w:trPr>
          <w:cantSplit/>
        </w:trPr>
        <w:tc>
          <w:tcPr>
            <w:tcW w:w="3583" w:type="dxa"/>
            <w:tcBorders>
              <w:top w:val="single" w:sz="4" w:space="0" w:color="auto"/>
              <w:left w:val="nil"/>
              <w:bottom w:val="nil"/>
              <w:right w:val="single" w:sz="4" w:space="0" w:color="auto"/>
            </w:tcBorders>
          </w:tcPr>
          <w:p w14:paraId="6A7F35D7" w14:textId="77777777" w:rsidR="00AF2C5E" w:rsidRPr="00AF2C5E" w:rsidRDefault="00AF2C5E">
            <w:pPr>
              <w:pStyle w:val="T1a"/>
              <w:keepNext/>
              <w:rPr>
                <w:szCs w:val="24"/>
                <w:lang w:bidi="he-IL"/>
              </w:rPr>
            </w:pPr>
            <w:r w:rsidRPr="00AF2C5E">
              <w:rPr>
                <w:noProof/>
                <w:szCs w:val="24"/>
                <w:lang w:bidi="he-IL"/>
              </w:rPr>
              <w:t>Disease-free survival</w:t>
            </w:r>
          </w:p>
        </w:tc>
        <w:tc>
          <w:tcPr>
            <w:tcW w:w="1368" w:type="dxa"/>
            <w:tcBorders>
              <w:top w:val="single" w:sz="4" w:space="0" w:color="auto"/>
              <w:left w:val="single" w:sz="4" w:space="0" w:color="auto"/>
              <w:bottom w:val="nil"/>
              <w:right w:val="single" w:sz="4" w:space="0" w:color="auto"/>
            </w:tcBorders>
          </w:tcPr>
          <w:p w14:paraId="2D41678D" w14:textId="77777777" w:rsidR="00AF2C5E" w:rsidRPr="00AF2C5E" w:rsidRDefault="00AF2C5E">
            <w:pPr>
              <w:pStyle w:val="T1a"/>
              <w:keepNext/>
              <w:jc w:val="center"/>
              <w:rPr>
                <w:szCs w:val="24"/>
                <w:lang w:bidi="he-IL"/>
              </w:rPr>
            </w:pPr>
          </w:p>
        </w:tc>
        <w:tc>
          <w:tcPr>
            <w:tcW w:w="1368" w:type="dxa"/>
            <w:tcBorders>
              <w:top w:val="single" w:sz="4" w:space="0" w:color="auto"/>
              <w:left w:val="single" w:sz="4" w:space="0" w:color="auto"/>
              <w:bottom w:val="nil"/>
              <w:right w:val="single" w:sz="4" w:space="0" w:color="auto"/>
            </w:tcBorders>
          </w:tcPr>
          <w:p w14:paraId="412E5C06" w14:textId="77777777" w:rsidR="00AF2C5E" w:rsidRPr="00AF2C5E" w:rsidRDefault="00AF2C5E">
            <w:pPr>
              <w:pStyle w:val="T1a"/>
              <w:keepNext/>
              <w:jc w:val="center"/>
              <w:rPr>
                <w:szCs w:val="24"/>
                <w:lang w:bidi="he-IL"/>
              </w:rPr>
            </w:pPr>
          </w:p>
        </w:tc>
        <w:tc>
          <w:tcPr>
            <w:tcW w:w="1152" w:type="dxa"/>
            <w:tcBorders>
              <w:top w:val="single" w:sz="4" w:space="0" w:color="auto"/>
              <w:left w:val="single" w:sz="4" w:space="0" w:color="auto"/>
              <w:bottom w:val="nil"/>
              <w:right w:val="single" w:sz="4" w:space="0" w:color="auto"/>
            </w:tcBorders>
          </w:tcPr>
          <w:p w14:paraId="2A8D16D1" w14:textId="77777777" w:rsidR="00AF2C5E" w:rsidRPr="00AF2C5E" w:rsidRDefault="00AF2C5E">
            <w:pPr>
              <w:pStyle w:val="T1a"/>
              <w:keepNext/>
              <w:jc w:val="center"/>
              <w:rPr>
                <w:szCs w:val="24"/>
                <w:lang w:bidi="he-IL"/>
              </w:rPr>
            </w:pPr>
          </w:p>
        </w:tc>
        <w:tc>
          <w:tcPr>
            <w:tcW w:w="1584" w:type="dxa"/>
            <w:tcBorders>
              <w:top w:val="single" w:sz="4" w:space="0" w:color="auto"/>
              <w:left w:val="single" w:sz="4" w:space="0" w:color="auto"/>
              <w:bottom w:val="nil"/>
              <w:right w:val="nil"/>
            </w:tcBorders>
          </w:tcPr>
          <w:p w14:paraId="01B11217" w14:textId="77777777" w:rsidR="00AF2C5E" w:rsidRPr="00AF2C5E" w:rsidRDefault="00AF2C5E">
            <w:pPr>
              <w:pStyle w:val="T1a"/>
              <w:keepNext/>
              <w:jc w:val="center"/>
              <w:rPr>
                <w:szCs w:val="24"/>
                <w:lang w:bidi="he-IL"/>
              </w:rPr>
            </w:pPr>
          </w:p>
        </w:tc>
      </w:tr>
      <w:tr w:rsidR="00AF2C5E" w:rsidRPr="00AF2C5E" w14:paraId="59409D8B" w14:textId="77777777">
        <w:trPr>
          <w:cantSplit/>
        </w:trPr>
        <w:tc>
          <w:tcPr>
            <w:tcW w:w="3583" w:type="dxa"/>
            <w:tcBorders>
              <w:top w:val="nil"/>
              <w:left w:val="nil"/>
              <w:bottom w:val="nil"/>
              <w:right w:val="single" w:sz="4" w:space="0" w:color="auto"/>
            </w:tcBorders>
          </w:tcPr>
          <w:p w14:paraId="54155651" w14:textId="77777777" w:rsidR="00AF2C5E" w:rsidRPr="00AF2C5E" w:rsidRDefault="00AF2C5E">
            <w:pPr>
              <w:pStyle w:val="T2"/>
              <w:keepNext/>
              <w:numPr>
                <w:ilvl w:val="0"/>
                <w:numId w:val="23"/>
              </w:numPr>
              <w:tabs>
                <w:tab w:val="clear" w:pos="360"/>
              </w:tabs>
              <w:spacing w:before="0" w:after="0"/>
              <w:rPr>
                <w:szCs w:val="24"/>
                <w:lang w:bidi="he-IL"/>
              </w:rPr>
            </w:pPr>
            <w:r w:rsidRPr="00AF2C5E">
              <w:rPr>
                <w:noProof/>
                <w:szCs w:val="24"/>
                <w:lang w:bidi="he-IL"/>
              </w:rPr>
              <w:t>Number of patients with event</w:t>
            </w:r>
          </w:p>
        </w:tc>
        <w:tc>
          <w:tcPr>
            <w:tcW w:w="1368" w:type="dxa"/>
            <w:tcBorders>
              <w:top w:val="nil"/>
              <w:left w:val="single" w:sz="4" w:space="0" w:color="auto"/>
              <w:bottom w:val="nil"/>
              <w:right w:val="single" w:sz="4" w:space="0" w:color="auto"/>
            </w:tcBorders>
          </w:tcPr>
          <w:p w14:paraId="519D435A" w14:textId="77777777" w:rsidR="00AF2C5E" w:rsidRPr="00AF2C5E" w:rsidRDefault="00AF2C5E">
            <w:pPr>
              <w:pStyle w:val="T2"/>
              <w:keepNext/>
              <w:jc w:val="center"/>
              <w:rPr>
                <w:szCs w:val="24"/>
                <w:lang w:bidi="he-IL"/>
              </w:rPr>
            </w:pPr>
            <w:r w:rsidRPr="00AF2C5E">
              <w:rPr>
                <w:szCs w:val="24"/>
                <w:lang w:bidi="he-IL"/>
              </w:rPr>
              <w:t>195 (18.2%)</w:t>
            </w:r>
          </w:p>
        </w:tc>
        <w:tc>
          <w:tcPr>
            <w:tcW w:w="1368" w:type="dxa"/>
            <w:tcBorders>
              <w:top w:val="nil"/>
              <w:left w:val="single" w:sz="4" w:space="0" w:color="auto"/>
              <w:bottom w:val="nil"/>
              <w:right w:val="single" w:sz="4" w:space="0" w:color="auto"/>
            </w:tcBorders>
          </w:tcPr>
          <w:p w14:paraId="192DA9F1" w14:textId="77777777" w:rsidR="00AF2C5E" w:rsidRPr="00AF2C5E" w:rsidRDefault="00AF2C5E">
            <w:pPr>
              <w:pStyle w:val="T2"/>
              <w:keepNext/>
              <w:jc w:val="center"/>
              <w:rPr>
                <w:szCs w:val="24"/>
                <w:lang w:bidi="he-IL"/>
              </w:rPr>
            </w:pPr>
            <w:r w:rsidRPr="00AF2C5E">
              <w:rPr>
                <w:szCs w:val="24"/>
                <w:lang w:bidi="he-IL"/>
              </w:rPr>
              <w:t>134 (12.5%)</w:t>
            </w:r>
          </w:p>
        </w:tc>
        <w:tc>
          <w:tcPr>
            <w:tcW w:w="1152" w:type="dxa"/>
            <w:tcBorders>
              <w:top w:val="nil"/>
              <w:left w:val="single" w:sz="4" w:space="0" w:color="auto"/>
              <w:bottom w:val="nil"/>
              <w:right w:val="single" w:sz="4" w:space="0" w:color="auto"/>
            </w:tcBorders>
          </w:tcPr>
          <w:p w14:paraId="07DD38A7" w14:textId="77777777" w:rsidR="00AF2C5E" w:rsidRPr="00AF2C5E" w:rsidRDefault="00AF2C5E">
            <w:pPr>
              <w:pStyle w:val="T2"/>
              <w:keepNext/>
              <w:jc w:val="center"/>
              <w:rPr>
                <w:szCs w:val="24"/>
                <w:lang w:bidi="he-IL"/>
              </w:rPr>
            </w:pPr>
            <w:r w:rsidRPr="00AF2C5E">
              <w:rPr>
                <w:szCs w:val="24"/>
                <w:lang w:bidi="he-IL"/>
              </w:rPr>
              <w:t>&lt;0.0001</w:t>
            </w:r>
          </w:p>
        </w:tc>
        <w:tc>
          <w:tcPr>
            <w:tcW w:w="1584" w:type="dxa"/>
            <w:tcBorders>
              <w:top w:val="nil"/>
              <w:left w:val="single" w:sz="4" w:space="0" w:color="auto"/>
              <w:bottom w:val="nil"/>
              <w:right w:val="nil"/>
            </w:tcBorders>
          </w:tcPr>
          <w:p w14:paraId="4CD317B0" w14:textId="77777777" w:rsidR="00AF2C5E" w:rsidRPr="00AF2C5E" w:rsidRDefault="00AF2C5E">
            <w:pPr>
              <w:pStyle w:val="T2"/>
              <w:keepNext/>
              <w:jc w:val="center"/>
              <w:rPr>
                <w:szCs w:val="24"/>
                <w:lang w:bidi="he-IL"/>
              </w:rPr>
            </w:pPr>
            <w:r w:rsidRPr="00AF2C5E">
              <w:rPr>
                <w:szCs w:val="24"/>
                <w:lang w:bidi="he-IL"/>
              </w:rPr>
              <w:t>0.61 (0.49-0.77)</w:t>
            </w:r>
          </w:p>
        </w:tc>
      </w:tr>
      <w:tr w:rsidR="00AF2C5E" w:rsidRPr="00AF2C5E" w14:paraId="7BE211BF" w14:textId="77777777">
        <w:trPr>
          <w:cantSplit/>
        </w:trPr>
        <w:tc>
          <w:tcPr>
            <w:tcW w:w="3583" w:type="dxa"/>
            <w:tcBorders>
              <w:top w:val="nil"/>
              <w:left w:val="nil"/>
              <w:bottom w:val="single" w:sz="4" w:space="0" w:color="auto"/>
              <w:right w:val="single" w:sz="4" w:space="0" w:color="auto"/>
            </w:tcBorders>
          </w:tcPr>
          <w:p w14:paraId="1EE8B8D6" w14:textId="77777777" w:rsidR="00AF2C5E" w:rsidRPr="00AF2C5E" w:rsidRDefault="00AF2C5E">
            <w:pPr>
              <w:pStyle w:val="T1b"/>
              <w:keepNext/>
              <w:numPr>
                <w:ilvl w:val="0"/>
                <w:numId w:val="23"/>
              </w:numPr>
              <w:tabs>
                <w:tab w:val="clear" w:pos="360"/>
              </w:tabs>
              <w:rPr>
                <w:szCs w:val="24"/>
                <w:lang w:bidi="he-IL"/>
              </w:rPr>
            </w:pPr>
            <w:r w:rsidRPr="00AF2C5E">
              <w:rPr>
                <w:noProof/>
                <w:szCs w:val="24"/>
                <w:lang w:bidi="he-IL"/>
              </w:rPr>
              <w:t>Number of patients without event</w:t>
            </w:r>
          </w:p>
        </w:tc>
        <w:tc>
          <w:tcPr>
            <w:tcW w:w="1368" w:type="dxa"/>
            <w:tcBorders>
              <w:top w:val="nil"/>
              <w:left w:val="single" w:sz="4" w:space="0" w:color="auto"/>
              <w:bottom w:val="single" w:sz="4" w:space="0" w:color="auto"/>
              <w:right w:val="single" w:sz="4" w:space="0" w:color="auto"/>
            </w:tcBorders>
          </w:tcPr>
          <w:p w14:paraId="6107AD53" w14:textId="77777777" w:rsidR="00AF2C5E" w:rsidRPr="00AF2C5E" w:rsidRDefault="00AF2C5E">
            <w:pPr>
              <w:pStyle w:val="T1b"/>
              <w:keepNext/>
              <w:jc w:val="center"/>
              <w:rPr>
                <w:szCs w:val="24"/>
                <w:lang w:bidi="he-IL"/>
              </w:rPr>
            </w:pPr>
            <w:r w:rsidRPr="00AF2C5E">
              <w:rPr>
                <w:szCs w:val="24"/>
                <w:lang w:bidi="he-IL"/>
              </w:rPr>
              <w:t>878 (81.8%)</w:t>
            </w:r>
          </w:p>
        </w:tc>
        <w:tc>
          <w:tcPr>
            <w:tcW w:w="1368" w:type="dxa"/>
            <w:tcBorders>
              <w:top w:val="nil"/>
              <w:left w:val="single" w:sz="4" w:space="0" w:color="auto"/>
              <w:bottom w:val="single" w:sz="4" w:space="0" w:color="auto"/>
              <w:right w:val="single" w:sz="4" w:space="0" w:color="auto"/>
            </w:tcBorders>
          </w:tcPr>
          <w:p w14:paraId="7E914335" w14:textId="77777777" w:rsidR="00AF2C5E" w:rsidRPr="00AF2C5E" w:rsidRDefault="00AF2C5E">
            <w:pPr>
              <w:pStyle w:val="T1b"/>
              <w:keepNext/>
              <w:jc w:val="center"/>
              <w:rPr>
                <w:szCs w:val="24"/>
                <w:lang w:bidi="he-IL"/>
              </w:rPr>
            </w:pPr>
            <w:r w:rsidRPr="00AF2C5E">
              <w:rPr>
                <w:szCs w:val="24"/>
                <w:lang w:bidi="he-IL"/>
              </w:rPr>
              <w:t>940 (87.5%)</w:t>
            </w:r>
          </w:p>
        </w:tc>
        <w:tc>
          <w:tcPr>
            <w:tcW w:w="1152" w:type="dxa"/>
            <w:tcBorders>
              <w:top w:val="nil"/>
              <w:left w:val="single" w:sz="4" w:space="0" w:color="auto"/>
              <w:bottom w:val="single" w:sz="4" w:space="0" w:color="auto"/>
              <w:right w:val="single" w:sz="4" w:space="0" w:color="auto"/>
            </w:tcBorders>
          </w:tcPr>
          <w:p w14:paraId="25CC4456" w14:textId="77777777" w:rsidR="00AF2C5E" w:rsidRPr="00AF2C5E" w:rsidRDefault="00AF2C5E">
            <w:pPr>
              <w:pStyle w:val="T1b"/>
              <w:keepNext/>
              <w:jc w:val="center"/>
              <w:rPr>
                <w:szCs w:val="24"/>
                <w:lang w:bidi="he-IL"/>
              </w:rPr>
            </w:pPr>
          </w:p>
        </w:tc>
        <w:tc>
          <w:tcPr>
            <w:tcW w:w="1584" w:type="dxa"/>
            <w:tcBorders>
              <w:top w:val="nil"/>
              <w:left w:val="single" w:sz="4" w:space="0" w:color="auto"/>
              <w:bottom w:val="single" w:sz="4" w:space="0" w:color="auto"/>
              <w:right w:val="nil"/>
            </w:tcBorders>
          </w:tcPr>
          <w:p w14:paraId="2866694A" w14:textId="77777777" w:rsidR="00AF2C5E" w:rsidRPr="00AF2C5E" w:rsidRDefault="00AF2C5E">
            <w:pPr>
              <w:pStyle w:val="T1b"/>
              <w:keepNext/>
              <w:jc w:val="center"/>
              <w:rPr>
                <w:szCs w:val="24"/>
                <w:lang w:bidi="he-IL"/>
              </w:rPr>
            </w:pPr>
          </w:p>
        </w:tc>
      </w:tr>
      <w:tr w:rsidR="00AF2C5E" w:rsidRPr="00AF2C5E" w14:paraId="3A71FECB" w14:textId="77777777">
        <w:trPr>
          <w:cantSplit/>
        </w:trPr>
        <w:tc>
          <w:tcPr>
            <w:tcW w:w="3583" w:type="dxa"/>
            <w:tcBorders>
              <w:top w:val="single" w:sz="4" w:space="0" w:color="auto"/>
              <w:left w:val="nil"/>
              <w:bottom w:val="nil"/>
              <w:right w:val="single" w:sz="4" w:space="0" w:color="auto"/>
            </w:tcBorders>
          </w:tcPr>
          <w:p w14:paraId="2ACFD2BC" w14:textId="77777777" w:rsidR="00AF2C5E" w:rsidRPr="00AF2C5E" w:rsidRDefault="00AF2C5E">
            <w:pPr>
              <w:pStyle w:val="T1a"/>
              <w:keepNext/>
              <w:rPr>
                <w:szCs w:val="24"/>
                <w:lang w:bidi="he-IL"/>
              </w:rPr>
            </w:pPr>
            <w:r w:rsidRPr="00AF2C5E">
              <w:rPr>
                <w:noProof/>
                <w:szCs w:val="24"/>
                <w:lang w:bidi="he-IL"/>
              </w:rPr>
              <w:t>Distant metastases</w:t>
            </w:r>
          </w:p>
        </w:tc>
        <w:tc>
          <w:tcPr>
            <w:tcW w:w="1368" w:type="dxa"/>
            <w:tcBorders>
              <w:top w:val="single" w:sz="4" w:space="0" w:color="auto"/>
              <w:left w:val="single" w:sz="4" w:space="0" w:color="auto"/>
              <w:bottom w:val="nil"/>
              <w:right w:val="single" w:sz="4" w:space="0" w:color="auto"/>
            </w:tcBorders>
          </w:tcPr>
          <w:p w14:paraId="01D44400" w14:textId="77777777" w:rsidR="00AF2C5E" w:rsidRPr="00AF2C5E" w:rsidRDefault="00AF2C5E">
            <w:pPr>
              <w:pStyle w:val="T1a"/>
              <w:keepNext/>
              <w:jc w:val="center"/>
              <w:rPr>
                <w:szCs w:val="24"/>
                <w:lang w:bidi="he-IL"/>
              </w:rPr>
            </w:pPr>
          </w:p>
        </w:tc>
        <w:tc>
          <w:tcPr>
            <w:tcW w:w="1368" w:type="dxa"/>
            <w:tcBorders>
              <w:top w:val="single" w:sz="4" w:space="0" w:color="auto"/>
              <w:left w:val="single" w:sz="4" w:space="0" w:color="auto"/>
              <w:bottom w:val="nil"/>
              <w:right w:val="single" w:sz="4" w:space="0" w:color="auto"/>
            </w:tcBorders>
          </w:tcPr>
          <w:p w14:paraId="47417556" w14:textId="77777777" w:rsidR="00AF2C5E" w:rsidRPr="00AF2C5E" w:rsidRDefault="00AF2C5E">
            <w:pPr>
              <w:pStyle w:val="T1a"/>
              <w:keepNext/>
              <w:jc w:val="center"/>
              <w:rPr>
                <w:szCs w:val="24"/>
                <w:lang w:bidi="he-IL"/>
              </w:rPr>
            </w:pPr>
          </w:p>
        </w:tc>
        <w:tc>
          <w:tcPr>
            <w:tcW w:w="1152" w:type="dxa"/>
            <w:tcBorders>
              <w:top w:val="single" w:sz="4" w:space="0" w:color="auto"/>
              <w:left w:val="single" w:sz="4" w:space="0" w:color="auto"/>
              <w:bottom w:val="nil"/>
              <w:right w:val="single" w:sz="4" w:space="0" w:color="auto"/>
            </w:tcBorders>
          </w:tcPr>
          <w:p w14:paraId="353F4D12" w14:textId="77777777" w:rsidR="00AF2C5E" w:rsidRPr="00AF2C5E" w:rsidRDefault="00AF2C5E">
            <w:pPr>
              <w:pStyle w:val="T1a"/>
              <w:keepNext/>
              <w:jc w:val="center"/>
              <w:rPr>
                <w:szCs w:val="24"/>
                <w:lang w:bidi="he-IL"/>
              </w:rPr>
            </w:pPr>
          </w:p>
        </w:tc>
        <w:tc>
          <w:tcPr>
            <w:tcW w:w="1584" w:type="dxa"/>
            <w:tcBorders>
              <w:top w:val="single" w:sz="4" w:space="0" w:color="auto"/>
              <w:left w:val="single" w:sz="4" w:space="0" w:color="auto"/>
              <w:bottom w:val="nil"/>
              <w:right w:val="nil"/>
            </w:tcBorders>
          </w:tcPr>
          <w:p w14:paraId="587C7A70" w14:textId="77777777" w:rsidR="00AF2C5E" w:rsidRPr="00AF2C5E" w:rsidRDefault="00AF2C5E">
            <w:pPr>
              <w:pStyle w:val="T1a"/>
              <w:keepNext/>
              <w:jc w:val="center"/>
              <w:rPr>
                <w:szCs w:val="24"/>
                <w:lang w:bidi="he-IL"/>
              </w:rPr>
            </w:pPr>
          </w:p>
        </w:tc>
      </w:tr>
      <w:tr w:rsidR="00AF2C5E" w:rsidRPr="00AF2C5E" w14:paraId="6225D87B" w14:textId="77777777">
        <w:trPr>
          <w:cantSplit/>
        </w:trPr>
        <w:tc>
          <w:tcPr>
            <w:tcW w:w="3583" w:type="dxa"/>
            <w:tcBorders>
              <w:top w:val="nil"/>
              <w:left w:val="nil"/>
              <w:bottom w:val="nil"/>
              <w:right w:val="single" w:sz="4" w:space="0" w:color="auto"/>
            </w:tcBorders>
          </w:tcPr>
          <w:p w14:paraId="42487EFF" w14:textId="77777777" w:rsidR="00AF2C5E" w:rsidRPr="00AF2C5E" w:rsidRDefault="00AF2C5E">
            <w:pPr>
              <w:pStyle w:val="T2"/>
              <w:keepNext/>
              <w:numPr>
                <w:ilvl w:val="0"/>
                <w:numId w:val="23"/>
              </w:numPr>
              <w:tabs>
                <w:tab w:val="clear" w:pos="360"/>
              </w:tabs>
              <w:spacing w:before="0" w:after="0"/>
              <w:rPr>
                <w:szCs w:val="24"/>
                <w:lang w:bidi="he-IL"/>
              </w:rPr>
            </w:pPr>
            <w:r w:rsidRPr="00AF2C5E">
              <w:rPr>
                <w:noProof/>
                <w:szCs w:val="24"/>
                <w:lang w:bidi="he-IL"/>
              </w:rPr>
              <w:t>Number of patients with event</w:t>
            </w:r>
          </w:p>
        </w:tc>
        <w:tc>
          <w:tcPr>
            <w:tcW w:w="1368" w:type="dxa"/>
            <w:tcBorders>
              <w:top w:val="nil"/>
              <w:left w:val="single" w:sz="4" w:space="0" w:color="auto"/>
              <w:bottom w:val="nil"/>
              <w:right w:val="single" w:sz="4" w:space="0" w:color="auto"/>
            </w:tcBorders>
          </w:tcPr>
          <w:p w14:paraId="723CE0E3" w14:textId="77777777" w:rsidR="00AF2C5E" w:rsidRPr="00AF2C5E" w:rsidRDefault="00AF2C5E">
            <w:pPr>
              <w:pStyle w:val="T2"/>
              <w:keepNext/>
              <w:jc w:val="center"/>
              <w:rPr>
                <w:szCs w:val="24"/>
                <w:lang w:bidi="he-IL"/>
              </w:rPr>
            </w:pPr>
            <w:r w:rsidRPr="00AF2C5E">
              <w:rPr>
                <w:szCs w:val="24"/>
                <w:lang w:bidi="he-IL"/>
              </w:rPr>
              <w:t>144 (13.4%)</w:t>
            </w:r>
          </w:p>
        </w:tc>
        <w:tc>
          <w:tcPr>
            <w:tcW w:w="1368" w:type="dxa"/>
            <w:tcBorders>
              <w:top w:val="nil"/>
              <w:left w:val="single" w:sz="4" w:space="0" w:color="auto"/>
              <w:bottom w:val="nil"/>
              <w:right w:val="single" w:sz="4" w:space="0" w:color="auto"/>
            </w:tcBorders>
          </w:tcPr>
          <w:p w14:paraId="248C6605" w14:textId="77777777" w:rsidR="00AF2C5E" w:rsidRPr="00AF2C5E" w:rsidRDefault="00AF2C5E">
            <w:pPr>
              <w:pStyle w:val="T2"/>
              <w:keepNext/>
              <w:jc w:val="center"/>
              <w:rPr>
                <w:szCs w:val="24"/>
                <w:lang w:bidi="he-IL"/>
              </w:rPr>
            </w:pPr>
            <w:r w:rsidRPr="00AF2C5E">
              <w:rPr>
                <w:szCs w:val="24"/>
                <w:lang w:bidi="he-IL"/>
              </w:rPr>
              <w:t>95 (8.8%)</w:t>
            </w:r>
          </w:p>
        </w:tc>
        <w:tc>
          <w:tcPr>
            <w:tcW w:w="1152" w:type="dxa"/>
            <w:tcBorders>
              <w:top w:val="nil"/>
              <w:left w:val="single" w:sz="4" w:space="0" w:color="auto"/>
              <w:bottom w:val="nil"/>
              <w:right w:val="single" w:sz="4" w:space="0" w:color="auto"/>
            </w:tcBorders>
          </w:tcPr>
          <w:p w14:paraId="3932838A" w14:textId="77777777" w:rsidR="00AF2C5E" w:rsidRPr="00AF2C5E" w:rsidRDefault="00AF2C5E">
            <w:pPr>
              <w:pStyle w:val="T2"/>
              <w:keepNext/>
              <w:jc w:val="center"/>
              <w:rPr>
                <w:szCs w:val="24"/>
                <w:lang w:bidi="he-IL"/>
              </w:rPr>
            </w:pPr>
            <w:r w:rsidRPr="00AF2C5E">
              <w:rPr>
                <w:szCs w:val="24"/>
                <w:lang w:bidi="he-IL"/>
              </w:rPr>
              <w:t>&lt;0.0001</w:t>
            </w:r>
          </w:p>
        </w:tc>
        <w:tc>
          <w:tcPr>
            <w:tcW w:w="1584" w:type="dxa"/>
            <w:tcBorders>
              <w:top w:val="nil"/>
              <w:left w:val="single" w:sz="4" w:space="0" w:color="auto"/>
              <w:bottom w:val="nil"/>
              <w:right w:val="nil"/>
            </w:tcBorders>
          </w:tcPr>
          <w:p w14:paraId="61ED2809" w14:textId="77777777" w:rsidR="00AF2C5E" w:rsidRPr="00AF2C5E" w:rsidRDefault="00AF2C5E">
            <w:pPr>
              <w:pStyle w:val="T2"/>
              <w:keepNext/>
              <w:jc w:val="center"/>
              <w:rPr>
                <w:szCs w:val="24"/>
                <w:lang w:bidi="he-IL"/>
              </w:rPr>
            </w:pPr>
            <w:r w:rsidRPr="00AF2C5E">
              <w:rPr>
                <w:szCs w:val="24"/>
                <w:lang w:bidi="he-IL"/>
              </w:rPr>
              <w:t>0.59 (0.46-0.77)</w:t>
            </w:r>
          </w:p>
        </w:tc>
      </w:tr>
      <w:tr w:rsidR="00AF2C5E" w:rsidRPr="00AF2C5E" w14:paraId="66DB4A86" w14:textId="77777777">
        <w:trPr>
          <w:cantSplit/>
        </w:trPr>
        <w:tc>
          <w:tcPr>
            <w:tcW w:w="3583" w:type="dxa"/>
            <w:tcBorders>
              <w:top w:val="nil"/>
              <w:left w:val="nil"/>
              <w:bottom w:val="single" w:sz="4" w:space="0" w:color="auto"/>
              <w:right w:val="single" w:sz="4" w:space="0" w:color="auto"/>
            </w:tcBorders>
          </w:tcPr>
          <w:p w14:paraId="60EEC025" w14:textId="77777777" w:rsidR="00AF2C5E" w:rsidRPr="00AF2C5E" w:rsidRDefault="00AF2C5E">
            <w:pPr>
              <w:pStyle w:val="T1b"/>
              <w:keepNext/>
              <w:numPr>
                <w:ilvl w:val="0"/>
                <w:numId w:val="23"/>
              </w:numPr>
              <w:tabs>
                <w:tab w:val="clear" w:pos="360"/>
              </w:tabs>
              <w:rPr>
                <w:szCs w:val="24"/>
                <w:lang w:bidi="he-IL"/>
              </w:rPr>
            </w:pPr>
            <w:r w:rsidRPr="00AF2C5E">
              <w:rPr>
                <w:noProof/>
                <w:szCs w:val="24"/>
                <w:lang w:bidi="he-IL"/>
              </w:rPr>
              <w:t>Number of patients without event</w:t>
            </w:r>
          </w:p>
        </w:tc>
        <w:tc>
          <w:tcPr>
            <w:tcW w:w="1368" w:type="dxa"/>
            <w:tcBorders>
              <w:top w:val="nil"/>
              <w:left w:val="single" w:sz="4" w:space="0" w:color="auto"/>
              <w:bottom w:val="single" w:sz="4" w:space="0" w:color="auto"/>
              <w:right w:val="single" w:sz="4" w:space="0" w:color="auto"/>
            </w:tcBorders>
          </w:tcPr>
          <w:p w14:paraId="424E4700" w14:textId="77777777" w:rsidR="00AF2C5E" w:rsidRPr="00AF2C5E" w:rsidRDefault="00AF2C5E">
            <w:pPr>
              <w:pStyle w:val="T1b"/>
              <w:keepNext/>
              <w:jc w:val="center"/>
              <w:rPr>
                <w:szCs w:val="24"/>
                <w:lang w:bidi="he-IL"/>
              </w:rPr>
            </w:pPr>
            <w:r w:rsidRPr="00AF2C5E">
              <w:rPr>
                <w:szCs w:val="24"/>
                <w:lang w:bidi="he-IL"/>
              </w:rPr>
              <w:t>929 (86.6%)</w:t>
            </w:r>
          </w:p>
        </w:tc>
        <w:tc>
          <w:tcPr>
            <w:tcW w:w="1368" w:type="dxa"/>
            <w:tcBorders>
              <w:top w:val="nil"/>
              <w:left w:val="single" w:sz="4" w:space="0" w:color="auto"/>
              <w:bottom w:val="single" w:sz="4" w:space="0" w:color="auto"/>
              <w:right w:val="single" w:sz="4" w:space="0" w:color="auto"/>
            </w:tcBorders>
          </w:tcPr>
          <w:p w14:paraId="500692A1" w14:textId="77777777" w:rsidR="00AF2C5E" w:rsidRPr="00AF2C5E" w:rsidRDefault="00AF2C5E">
            <w:pPr>
              <w:pStyle w:val="T1b"/>
              <w:keepNext/>
              <w:jc w:val="center"/>
              <w:rPr>
                <w:szCs w:val="24"/>
                <w:lang w:bidi="he-IL"/>
              </w:rPr>
            </w:pPr>
            <w:r w:rsidRPr="00AF2C5E">
              <w:rPr>
                <w:szCs w:val="24"/>
                <w:lang w:bidi="he-IL"/>
              </w:rPr>
              <w:t>979 (91.2%)</w:t>
            </w:r>
          </w:p>
        </w:tc>
        <w:tc>
          <w:tcPr>
            <w:tcW w:w="1152" w:type="dxa"/>
            <w:tcBorders>
              <w:top w:val="nil"/>
              <w:left w:val="single" w:sz="4" w:space="0" w:color="auto"/>
              <w:bottom w:val="single" w:sz="4" w:space="0" w:color="auto"/>
              <w:right w:val="single" w:sz="4" w:space="0" w:color="auto"/>
            </w:tcBorders>
          </w:tcPr>
          <w:p w14:paraId="27341D35" w14:textId="77777777" w:rsidR="00AF2C5E" w:rsidRPr="00AF2C5E" w:rsidRDefault="00AF2C5E">
            <w:pPr>
              <w:pStyle w:val="T1b"/>
              <w:keepNext/>
              <w:jc w:val="center"/>
              <w:rPr>
                <w:szCs w:val="24"/>
                <w:lang w:bidi="he-IL"/>
              </w:rPr>
            </w:pPr>
          </w:p>
        </w:tc>
        <w:tc>
          <w:tcPr>
            <w:tcW w:w="1584" w:type="dxa"/>
            <w:tcBorders>
              <w:top w:val="nil"/>
              <w:left w:val="single" w:sz="4" w:space="0" w:color="auto"/>
              <w:bottom w:val="single" w:sz="4" w:space="0" w:color="auto"/>
              <w:right w:val="nil"/>
            </w:tcBorders>
          </w:tcPr>
          <w:p w14:paraId="15513141" w14:textId="77777777" w:rsidR="00AF2C5E" w:rsidRPr="00AF2C5E" w:rsidRDefault="00AF2C5E">
            <w:pPr>
              <w:pStyle w:val="T1b"/>
              <w:keepNext/>
              <w:jc w:val="center"/>
              <w:rPr>
                <w:szCs w:val="24"/>
                <w:lang w:bidi="he-IL"/>
              </w:rPr>
            </w:pPr>
          </w:p>
        </w:tc>
      </w:tr>
      <w:tr w:rsidR="00AF2C5E" w:rsidRPr="00AF2C5E" w14:paraId="3F166222" w14:textId="77777777">
        <w:trPr>
          <w:cantSplit/>
        </w:trPr>
        <w:tc>
          <w:tcPr>
            <w:tcW w:w="3583" w:type="dxa"/>
            <w:tcBorders>
              <w:top w:val="single" w:sz="4" w:space="0" w:color="auto"/>
              <w:left w:val="nil"/>
              <w:bottom w:val="nil"/>
              <w:right w:val="single" w:sz="4" w:space="0" w:color="auto"/>
            </w:tcBorders>
          </w:tcPr>
          <w:p w14:paraId="05C6F490" w14:textId="77777777" w:rsidR="00AF2C5E" w:rsidRPr="00AF2C5E" w:rsidRDefault="00AF2C5E">
            <w:pPr>
              <w:pStyle w:val="T1a"/>
              <w:keepNext/>
              <w:rPr>
                <w:szCs w:val="24"/>
                <w:lang w:bidi="he-IL"/>
              </w:rPr>
            </w:pPr>
            <w:r w:rsidRPr="00AF2C5E">
              <w:rPr>
                <w:noProof/>
                <w:szCs w:val="24"/>
                <w:lang w:bidi="he-IL"/>
              </w:rPr>
              <w:t>Death (overall survival event)</w:t>
            </w:r>
          </w:p>
        </w:tc>
        <w:tc>
          <w:tcPr>
            <w:tcW w:w="1368" w:type="dxa"/>
            <w:tcBorders>
              <w:top w:val="single" w:sz="4" w:space="0" w:color="auto"/>
              <w:left w:val="single" w:sz="4" w:space="0" w:color="auto"/>
              <w:bottom w:val="nil"/>
              <w:right w:val="single" w:sz="4" w:space="0" w:color="auto"/>
            </w:tcBorders>
          </w:tcPr>
          <w:p w14:paraId="3CA0F1C8" w14:textId="77777777" w:rsidR="00AF2C5E" w:rsidRPr="00AF2C5E" w:rsidRDefault="00AF2C5E">
            <w:pPr>
              <w:pStyle w:val="T1a"/>
              <w:keepNext/>
              <w:jc w:val="center"/>
              <w:rPr>
                <w:szCs w:val="24"/>
                <w:lang w:bidi="he-IL"/>
              </w:rPr>
            </w:pPr>
          </w:p>
        </w:tc>
        <w:tc>
          <w:tcPr>
            <w:tcW w:w="1368" w:type="dxa"/>
            <w:tcBorders>
              <w:top w:val="single" w:sz="4" w:space="0" w:color="auto"/>
              <w:left w:val="single" w:sz="4" w:space="0" w:color="auto"/>
              <w:bottom w:val="nil"/>
              <w:right w:val="single" w:sz="4" w:space="0" w:color="auto"/>
            </w:tcBorders>
          </w:tcPr>
          <w:p w14:paraId="05686BB6" w14:textId="77777777" w:rsidR="00AF2C5E" w:rsidRPr="00AF2C5E" w:rsidRDefault="00AF2C5E">
            <w:pPr>
              <w:pStyle w:val="T1a"/>
              <w:keepNext/>
              <w:jc w:val="center"/>
              <w:rPr>
                <w:szCs w:val="24"/>
                <w:lang w:bidi="he-IL"/>
              </w:rPr>
            </w:pPr>
          </w:p>
        </w:tc>
        <w:tc>
          <w:tcPr>
            <w:tcW w:w="1152" w:type="dxa"/>
            <w:tcBorders>
              <w:top w:val="single" w:sz="4" w:space="0" w:color="auto"/>
              <w:left w:val="single" w:sz="4" w:space="0" w:color="auto"/>
              <w:bottom w:val="nil"/>
              <w:right w:val="single" w:sz="4" w:space="0" w:color="auto"/>
            </w:tcBorders>
          </w:tcPr>
          <w:p w14:paraId="11F8E7BB" w14:textId="77777777" w:rsidR="00AF2C5E" w:rsidRPr="00AF2C5E" w:rsidRDefault="00AF2C5E">
            <w:pPr>
              <w:pStyle w:val="T1a"/>
              <w:keepNext/>
              <w:jc w:val="center"/>
              <w:rPr>
                <w:szCs w:val="24"/>
                <w:lang w:bidi="he-IL"/>
              </w:rPr>
            </w:pPr>
          </w:p>
        </w:tc>
        <w:tc>
          <w:tcPr>
            <w:tcW w:w="1584" w:type="dxa"/>
            <w:tcBorders>
              <w:top w:val="single" w:sz="4" w:space="0" w:color="auto"/>
              <w:left w:val="single" w:sz="4" w:space="0" w:color="auto"/>
              <w:bottom w:val="nil"/>
              <w:right w:val="nil"/>
            </w:tcBorders>
          </w:tcPr>
          <w:p w14:paraId="14DEB6C5" w14:textId="77777777" w:rsidR="00AF2C5E" w:rsidRPr="00AF2C5E" w:rsidRDefault="00AF2C5E">
            <w:pPr>
              <w:pStyle w:val="T1a"/>
              <w:keepNext/>
              <w:jc w:val="center"/>
              <w:rPr>
                <w:szCs w:val="24"/>
                <w:lang w:bidi="he-IL"/>
              </w:rPr>
            </w:pPr>
          </w:p>
        </w:tc>
      </w:tr>
      <w:tr w:rsidR="00AF2C5E" w:rsidRPr="00AF2C5E" w14:paraId="20708F2F" w14:textId="77777777">
        <w:trPr>
          <w:cantSplit/>
        </w:trPr>
        <w:tc>
          <w:tcPr>
            <w:tcW w:w="3583" w:type="dxa"/>
            <w:tcBorders>
              <w:top w:val="nil"/>
              <w:left w:val="nil"/>
              <w:bottom w:val="nil"/>
              <w:right w:val="single" w:sz="4" w:space="0" w:color="auto"/>
            </w:tcBorders>
          </w:tcPr>
          <w:p w14:paraId="58BF7F87" w14:textId="77777777" w:rsidR="00AF2C5E" w:rsidRPr="00AF2C5E" w:rsidRDefault="00AF2C5E">
            <w:pPr>
              <w:pStyle w:val="T2"/>
              <w:keepNext/>
              <w:numPr>
                <w:ilvl w:val="0"/>
                <w:numId w:val="23"/>
              </w:numPr>
              <w:tabs>
                <w:tab w:val="clear" w:pos="360"/>
              </w:tabs>
              <w:spacing w:before="0" w:after="0"/>
              <w:rPr>
                <w:szCs w:val="24"/>
                <w:lang w:bidi="he-IL"/>
              </w:rPr>
            </w:pPr>
            <w:r w:rsidRPr="00AF2C5E">
              <w:rPr>
                <w:noProof/>
                <w:szCs w:val="24"/>
                <w:lang w:bidi="he-IL"/>
              </w:rPr>
              <w:t>Number of patients with event</w:t>
            </w:r>
          </w:p>
        </w:tc>
        <w:tc>
          <w:tcPr>
            <w:tcW w:w="1368" w:type="dxa"/>
            <w:tcBorders>
              <w:top w:val="nil"/>
              <w:left w:val="single" w:sz="4" w:space="0" w:color="auto"/>
              <w:bottom w:val="nil"/>
              <w:right w:val="single" w:sz="4" w:space="0" w:color="auto"/>
            </w:tcBorders>
          </w:tcPr>
          <w:p w14:paraId="458C3B54" w14:textId="77777777" w:rsidR="00AF2C5E" w:rsidRPr="00AF2C5E" w:rsidRDefault="00AF2C5E">
            <w:pPr>
              <w:pStyle w:val="T2"/>
              <w:keepNext/>
              <w:jc w:val="center"/>
              <w:rPr>
                <w:szCs w:val="24"/>
                <w:lang w:bidi="he-IL"/>
              </w:rPr>
            </w:pPr>
            <w:r w:rsidRPr="00AF2C5E">
              <w:rPr>
                <w:szCs w:val="24"/>
                <w:lang w:bidi="he-IL"/>
              </w:rPr>
              <w:t>80 (7.5%)</w:t>
            </w:r>
          </w:p>
        </w:tc>
        <w:tc>
          <w:tcPr>
            <w:tcW w:w="1368" w:type="dxa"/>
            <w:tcBorders>
              <w:top w:val="nil"/>
              <w:left w:val="single" w:sz="4" w:space="0" w:color="auto"/>
              <w:bottom w:val="nil"/>
              <w:right w:val="single" w:sz="4" w:space="0" w:color="auto"/>
            </w:tcBorders>
          </w:tcPr>
          <w:p w14:paraId="2FCCE4D3" w14:textId="77777777" w:rsidR="00AF2C5E" w:rsidRPr="00AF2C5E" w:rsidRDefault="00AF2C5E">
            <w:pPr>
              <w:pStyle w:val="T2"/>
              <w:keepNext/>
              <w:jc w:val="center"/>
              <w:rPr>
                <w:szCs w:val="24"/>
                <w:lang w:bidi="he-IL"/>
              </w:rPr>
            </w:pPr>
            <w:r w:rsidRPr="00AF2C5E">
              <w:rPr>
                <w:szCs w:val="24"/>
                <w:lang w:bidi="he-IL"/>
              </w:rPr>
              <w:t>49 (4.6%)</w:t>
            </w:r>
          </w:p>
        </w:tc>
        <w:tc>
          <w:tcPr>
            <w:tcW w:w="1152" w:type="dxa"/>
            <w:tcBorders>
              <w:top w:val="nil"/>
              <w:left w:val="single" w:sz="4" w:space="0" w:color="auto"/>
              <w:bottom w:val="nil"/>
              <w:right w:val="single" w:sz="4" w:space="0" w:color="auto"/>
            </w:tcBorders>
          </w:tcPr>
          <w:p w14:paraId="62734E4A" w14:textId="77777777" w:rsidR="00AF2C5E" w:rsidRPr="00AF2C5E" w:rsidRDefault="00AF2C5E">
            <w:pPr>
              <w:pStyle w:val="T2"/>
              <w:keepNext/>
              <w:jc w:val="center"/>
              <w:rPr>
                <w:szCs w:val="24"/>
                <w:lang w:bidi="he-IL"/>
              </w:rPr>
            </w:pPr>
            <w:r w:rsidRPr="00AF2C5E">
              <w:rPr>
                <w:szCs w:val="24"/>
                <w:lang w:bidi="he-IL"/>
              </w:rPr>
              <w:t>0.0024</w:t>
            </w:r>
          </w:p>
        </w:tc>
        <w:tc>
          <w:tcPr>
            <w:tcW w:w="1584" w:type="dxa"/>
            <w:tcBorders>
              <w:top w:val="nil"/>
              <w:left w:val="single" w:sz="4" w:space="0" w:color="auto"/>
              <w:bottom w:val="nil"/>
              <w:right w:val="nil"/>
            </w:tcBorders>
          </w:tcPr>
          <w:p w14:paraId="7C8F4C57" w14:textId="77777777" w:rsidR="00AF2C5E" w:rsidRPr="00AF2C5E" w:rsidRDefault="00AF2C5E">
            <w:pPr>
              <w:pStyle w:val="T2"/>
              <w:keepNext/>
              <w:jc w:val="center"/>
              <w:rPr>
                <w:szCs w:val="24"/>
                <w:lang w:bidi="he-IL"/>
              </w:rPr>
            </w:pPr>
            <w:r w:rsidRPr="00AF2C5E">
              <w:rPr>
                <w:szCs w:val="24"/>
                <w:lang w:bidi="he-IL"/>
              </w:rPr>
              <w:t>0.58 (0.40-0.83)</w:t>
            </w:r>
          </w:p>
        </w:tc>
      </w:tr>
      <w:tr w:rsidR="00AF2C5E" w:rsidRPr="00AF2C5E" w14:paraId="0C01FDB9" w14:textId="77777777">
        <w:trPr>
          <w:cantSplit/>
        </w:trPr>
        <w:tc>
          <w:tcPr>
            <w:tcW w:w="3583" w:type="dxa"/>
            <w:tcBorders>
              <w:top w:val="nil"/>
              <w:left w:val="nil"/>
              <w:bottom w:val="single" w:sz="4" w:space="0" w:color="auto"/>
              <w:right w:val="single" w:sz="4" w:space="0" w:color="auto"/>
            </w:tcBorders>
          </w:tcPr>
          <w:p w14:paraId="1931AF01" w14:textId="77777777" w:rsidR="00AF2C5E" w:rsidRPr="00AF2C5E" w:rsidRDefault="00AF2C5E">
            <w:pPr>
              <w:pStyle w:val="T1b"/>
              <w:keepNext/>
              <w:numPr>
                <w:ilvl w:val="0"/>
                <w:numId w:val="23"/>
              </w:numPr>
              <w:tabs>
                <w:tab w:val="clear" w:pos="360"/>
              </w:tabs>
              <w:rPr>
                <w:szCs w:val="24"/>
                <w:lang w:bidi="he-IL"/>
              </w:rPr>
            </w:pPr>
            <w:r w:rsidRPr="00AF2C5E">
              <w:rPr>
                <w:noProof/>
                <w:szCs w:val="24"/>
                <w:lang w:bidi="he-IL"/>
              </w:rPr>
              <w:t>Number of patients without event</w:t>
            </w:r>
          </w:p>
        </w:tc>
        <w:tc>
          <w:tcPr>
            <w:tcW w:w="1368" w:type="dxa"/>
            <w:tcBorders>
              <w:top w:val="nil"/>
              <w:left w:val="single" w:sz="4" w:space="0" w:color="auto"/>
              <w:bottom w:val="single" w:sz="4" w:space="0" w:color="auto"/>
              <w:right w:val="single" w:sz="4" w:space="0" w:color="auto"/>
            </w:tcBorders>
          </w:tcPr>
          <w:p w14:paraId="2213844B" w14:textId="77777777" w:rsidR="00AF2C5E" w:rsidRPr="00AF2C5E" w:rsidRDefault="00AF2C5E">
            <w:pPr>
              <w:pStyle w:val="T1b"/>
              <w:keepNext/>
              <w:jc w:val="center"/>
              <w:rPr>
                <w:szCs w:val="24"/>
                <w:lang w:bidi="he-IL"/>
              </w:rPr>
            </w:pPr>
            <w:r w:rsidRPr="00AF2C5E">
              <w:rPr>
                <w:szCs w:val="24"/>
                <w:lang w:bidi="he-IL"/>
              </w:rPr>
              <w:t>993 (92.5%)</w:t>
            </w:r>
          </w:p>
        </w:tc>
        <w:tc>
          <w:tcPr>
            <w:tcW w:w="1368" w:type="dxa"/>
            <w:tcBorders>
              <w:top w:val="nil"/>
              <w:left w:val="single" w:sz="4" w:space="0" w:color="auto"/>
              <w:bottom w:val="single" w:sz="4" w:space="0" w:color="auto"/>
              <w:right w:val="single" w:sz="4" w:space="0" w:color="auto"/>
            </w:tcBorders>
          </w:tcPr>
          <w:p w14:paraId="61C6FD4C" w14:textId="77777777" w:rsidR="00AF2C5E" w:rsidRPr="00AF2C5E" w:rsidRDefault="00AF2C5E">
            <w:pPr>
              <w:pStyle w:val="T1b"/>
              <w:keepNext/>
              <w:jc w:val="center"/>
              <w:rPr>
                <w:szCs w:val="24"/>
                <w:lang w:bidi="he-IL"/>
              </w:rPr>
            </w:pPr>
            <w:r w:rsidRPr="00AF2C5E">
              <w:rPr>
                <w:szCs w:val="24"/>
                <w:lang w:bidi="he-IL"/>
              </w:rPr>
              <w:t>1025 (95.4%)</w:t>
            </w:r>
          </w:p>
        </w:tc>
        <w:tc>
          <w:tcPr>
            <w:tcW w:w="1152" w:type="dxa"/>
            <w:tcBorders>
              <w:top w:val="nil"/>
              <w:left w:val="single" w:sz="4" w:space="0" w:color="auto"/>
              <w:bottom w:val="single" w:sz="4" w:space="0" w:color="auto"/>
              <w:right w:val="single" w:sz="4" w:space="0" w:color="auto"/>
            </w:tcBorders>
          </w:tcPr>
          <w:p w14:paraId="29F03476" w14:textId="77777777" w:rsidR="00AF2C5E" w:rsidRPr="00AF2C5E" w:rsidRDefault="00AF2C5E">
            <w:pPr>
              <w:pStyle w:val="T1b"/>
              <w:keepNext/>
              <w:jc w:val="center"/>
              <w:rPr>
                <w:szCs w:val="24"/>
                <w:lang w:bidi="he-IL"/>
              </w:rPr>
            </w:pPr>
          </w:p>
        </w:tc>
        <w:tc>
          <w:tcPr>
            <w:tcW w:w="1584" w:type="dxa"/>
            <w:tcBorders>
              <w:top w:val="nil"/>
              <w:left w:val="single" w:sz="4" w:space="0" w:color="auto"/>
              <w:bottom w:val="single" w:sz="4" w:space="0" w:color="auto"/>
              <w:right w:val="nil"/>
            </w:tcBorders>
          </w:tcPr>
          <w:p w14:paraId="7F196343" w14:textId="77777777" w:rsidR="00AF2C5E" w:rsidRPr="00AF2C5E" w:rsidRDefault="00AF2C5E">
            <w:pPr>
              <w:pStyle w:val="T1b"/>
              <w:keepNext/>
              <w:jc w:val="center"/>
              <w:rPr>
                <w:szCs w:val="24"/>
                <w:lang w:bidi="he-IL"/>
              </w:rPr>
            </w:pPr>
          </w:p>
        </w:tc>
      </w:tr>
    </w:tbl>
    <w:p w14:paraId="436F69C3" w14:textId="77777777" w:rsidR="00AF2C5E" w:rsidRDefault="00AF2C5E">
      <w:pPr>
        <w:pStyle w:val="T1"/>
        <w:keepLines/>
        <w:rPr>
          <w:rFonts w:cs="Arial"/>
          <w:szCs w:val="24"/>
        </w:rPr>
      </w:pPr>
      <w:r>
        <w:rPr>
          <w:rFonts w:cs="Arial"/>
          <w:szCs w:val="24"/>
        </w:rPr>
        <w:t>AC→D = doxorubicin plus cyclophosphamide, followed by docetaxel; AC→DH = doxorubicin plus cyclophosphamide, followed by docetaxel plus Herceptin; CI = confidence interval</w:t>
      </w:r>
    </w:p>
    <w:p w14:paraId="24394997" w14:textId="77777777" w:rsidR="00AF2C5E" w:rsidRDefault="00AF2C5E">
      <w:pPr>
        <w:pStyle w:val="THead2"/>
      </w:pPr>
      <w:r>
        <w:lastRenderedPageBreak/>
        <w:t>Overview of AC→D versus DCarbH efficacy analyses (study BCIRG 006)</w:t>
      </w:r>
    </w:p>
    <w:tbl>
      <w:tblPr>
        <w:tblW w:w="9055" w:type="dxa"/>
        <w:tblInd w:w="115" w:type="dxa"/>
        <w:tblBorders>
          <w:insideV w:val="single" w:sz="4" w:space="0" w:color="auto"/>
        </w:tblBorders>
        <w:tblLayout w:type="fixed"/>
        <w:tblCellMar>
          <w:left w:w="72" w:type="dxa"/>
          <w:right w:w="72" w:type="dxa"/>
        </w:tblCellMar>
        <w:tblLook w:val="0000" w:firstRow="0" w:lastRow="0" w:firstColumn="0" w:lastColumn="0" w:noHBand="0" w:noVBand="0"/>
      </w:tblPr>
      <w:tblGrid>
        <w:gridCol w:w="3583"/>
        <w:gridCol w:w="1368"/>
        <w:gridCol w:w="1368"/>
        <w:gridCol w:w="1152"/>
        <w:gridCol w:w="1584"/>
      </w:tblGrid>
      <w:tr w:rsidR="00AF2C5E" w:rsidRPr="00AF2C5E" w14:paraId="306C3D27" w14:textId="77777777">
        <w:trPr>
          <w:cantSplit/>
        </w:trPr>
        <w:tc>
          <w:tcPr>
            <w:tcW w:w="3583" w:type="dxa"/>
            <w:tcBorders>
              <w:top w:val="single" w:sz="4" w:space="0" w:color="auto"/>
              <w:left w:val="nil"/>
              <w:bottom w:val="single" w:sz="4" w:space="0" w:color="auto"/>
            </w:tcBorders>
          </w:tcPr>
          <w:p w14:paraId="44C8E0F9" w14:textId="77777777" w:rsidR="00AF2C5E" w:rsidRPr="00AF2C5E" w:rsidRDefault="00AF2C5E">
            <w:pPr>
              <w:pStyle w:val="T1"/>
              <w:keepNext/>
              <w:rPr>
                <w:rFonts w:cs="Arial"/>
                <w:szCs w:val="24"/>
              </w:rPr>
            </w:pPr>
            <w:r w:rsidRPr="00AF2C5E">
              <w:rPr>
                <w:rFonts w:cs="Arial"/>
                <w:szCs w:val="24"/>
              </w:rPr>
              <w:t>Parameter</w:t>
            </w:r>
          </w:p>
        </w:tc>
        <w:tc>
          <w:tcPr>
            <w:tcW w:w="1368" w:type="dxa"/>
            <w:tcBorders>
              <w:top w:val="single" w:sz="4" w:space="0" w:color="auto"/>
              <w:bottom w:val="single" w:sz="4" w:space="0" w:color="auto"/>
            </w:tcBorders>
          </w:tcPr>
          <w:p w14:paraId="696B965B" w14:textId="77777777" w:rsidR="00AF2C5E" w:rsidRPr="00AF2C5E" w:rsidRDefault="00AF2C5E">
            <w:pPr>
              <w:pStyle w:val="T1"/>
              <w:keepNext/>
              <w:jc w:val="center"/>
              <w:rPr>
                <w:rFonts w:cs="Arial"/>
                <w:szCs w:val="24"/>
              </w:rPr>
            </w:pPr>
            <w:r w:rsidRPr="00AF2C5E">
              <w:rPr>
                <w:rFonts w:cs="Arial"/>
                <w:szCs w:val="24"/>
              </w:rPr>
              <w:t>AC→D</w:t>
            </w:r>
            <w:r w:rsidRPr="00AF2C5E">
              <w:rPr>
                <w:rFonts w:cs="Arial"/>
                <w:szCs w:val="24"/>
              </w:rPr>
              <w:br/>
              <w:t>(n=1073)</w:t>
            </w:r>
          </w:p>
        </w:tc>
        <w:tc>
          <w:tcPr>
            <w:tcW w:w="1368" w:type="dxa"/>
            <w:tcBorders>
              <w:top w:val="single" w:sz="4" w:space="0" w:color="auto"/>
              <w:bottom w:val="single" w:sz="4" w:space="0" w:color="auto"/>
            </w:tcBorders>
          </w:tcPr>
          <w:p w14:paraId="5F742275" w14:textId="77777777" w:rsidR="00AF2C5E" w:rsidRPr="00AF2C5E" w:rsidRDefault="00AF2C5E">
            <w:pPr>
              <w:pStyle w:val="T1"/>
              <w:keepNext/>
              <w:jc w:val="center"/>
              <w:rPr>
                <w:rFonts w:cs="Arial"/>
                <w:szCs w:val="24"/>
              </w:rPr>
            </w:pPr>
            <w:r w:rsidRPr="00AF2C5E">
              <w:rPr>
                <w:rFonts w:cs="Arial"/>
                <w:szCs w:val="24"/>
              </w:rPr>
              <w:t>DCarbH</w:t>
            </w:r>
            <w:r w:rsidRPr="00AF2C5E">
              <w:rPr>
                <w:rFonts w:cs="Arial"/>
                <w:szCs w:val="24"/>
              </w:rPr>
              <w:br/>
              <w:t>(n=1075)</w:t>
            </w:r>
          </w:p>
        </w:tc>
        <w:tc>
          <w:tcPr>
            <w:tcW w:w="1152" w:type="dxa"/>
            <w:tcBorders>
              <w:top w:val="single" w:sz="4" w:space="0" w:color="auto"/>
              <w:bottom w:val="single" w:sz="4" w:space="0" w:color="auto"/>
            </w:tcBorders>
          </w:tcPr>
          <w:p w14:paraId="055AD6F2" w14:textId="77777777" w:rsidR="00AF2C5E" w:rsidRPr="00AF2C5E" w:rsidRDefault="00AF2C5E">
            <w:pPr>
              <w:pStyle w:val="T1"/>
              <w:keepNext/>
              <w:jc w:val="center"/>
              <w:rPr>
                <w:rFonts w:cs="Arial"/>
                <w:szCs w:val="24"/>
              </w:rPr>
            </w:pPr>
            <w:r w:rsidRPr="00AF2C5E">
              <w:rPr>
                <w:rFonts w:cs="Arial"/>
                <w:szCs w:val="24"/>
              </w:rPr>
              <w:t>p value vs AC→D</w:t>
            </w:r>
            <w:r w:rsidRPr="00AF2C5E">
              <w:rPr>
                <w:rFonts w:cs="Arial"/>
                <w:szCs w:val="24"/>
              </w:rPr>
              <w:br/>
              <w:t>(log-rank)</w:t>
            </w:r>
          </w:p>
        </w:tc>
        <w:tc>
          <w:tcPr>
            <w:tcW w:w="1584" w:type="dxa"/>
            <w:tcBorders>
              <w:top w:val="single" w:sz="4" w:space="0" w:color="auto"/>
              <w:bottom w:val="single" w:sz="4" w:space="0" w:color="auto"/>
              <w:right w:val="nil"/>
            </w:tcBorders>
          </w:tcPr>
          <w:p w14:paraId="08F4BFBC" w14:textId="77777777" w:rsidR="00AF2C5E" w:rsidRPr="00AF2C5E" w:rsidRDefault="00AF2C5E">
            <w:pPr>
              <w:pStyle w:val="T1"/>
              <w:keepNext/>
              <w:jc w:val="center"/>
              <w:rPr>
                <w:rFonts w:cs="Arial"/>
                <w:szCs w:val="24"/>
              </w:rPr>
            </w:pPr>
            <w:r w:rsidRPr="00AF2C5E">
              <w:rPr>
                <w:rFonts w:cs="Arial"/>
                <w:szCs w:val="24"/>
              </w:rPr>
              <w:t>Hazard ratio vs AC→D</w:t>
            </w:r>
            <w:r w:rsidRPr="00AF2C5E">
              <w:rPr>
                <w:rFonts w:cs="Arial"/>
                <w:szCs w:val="24"/>
              </w:rPr>
              <w:br/>
              <w:t>(95% CI)</w:t>
            </w:r>
          </w:p>
        </w:tc>
      </w:tr>
      <w:tr w:rsidR="00AF2C5E" w:rsidRPr="00AF2C5E" w14:paraId="467021FF" w14:textId="77777777">
        <w:trPr>
          <w:cantSplit/>
        </w:trPr>
        <w:tc>
          <w:tcPr>
            <w:tcW w:w="3583" w:type="dxa"/>
            <w:tcBorders>
              <w:top w:val="single" w:sz="4" w:space="0" w:color="auto"/>
              <w:left w:val="nil"/>
              <w:bottom w:val="nil"/>
            </w:tcBorders>
          </w:tcPr>
          <w:p w14:paraId="4372E14D" w14:textId="77777777" w:rsidR="00AF2C5E" w:rsidRPr="00AF2C5E" w:rsidRDefault="00AF2C5E">
            <w:pPr>
              <w:pStyle w:val="T1a"/>
              <w:keepNext/>
              <w:rPr>
                <w:szCs w:val="24"/>
                <w:lang w:bidi="he-IL"/>
              </w:rPr>
            </w:pPr>
            <w:r w:rsidRPr="00AF2C5E">
              <w:rPr>
                <w:noProof/>
                <w:szCs w:val="24"/>
                <w:lang w:bidi="he-IL"/>
              </w:rPr>
              <w:t>Disease-free survival</w:t>
            </w:r>
          </w:p>
        </w:tc>
        <w:tc>
          <w:tcPr>
            <w:tcW w:w="1368" w:type="dxa"/>
            <w:tcBorders>
              <w:top w:val="single" w:sz="4" w:space="0" w:color="auto"/>
              <w:bottom w:val="nil"/>
            </w:tcBorders>
          </w:tcPr>
          <w:p w14:paraId="293A2289" w14:textId="77777777" w:rsidR="00AF2C5E" w:rsidRPr="00AF2C5E" w:rsidRDefault="00AF2C5E">
            <w:pPr>
              <w:pStyle w:val="T1a"/>
              <w:keepNext/>
              <w:jc w:val="center"/>
              <w:rPr>
                <w:szCs w:val="24"/>
                <w:lang w:bidi="he-IL"/>
              </w:rPr>
            </w:pPr>
          </w:p>
        </w:tc>
        <w:tc>
          <w:tcPr>
            <w:tcW w:w="1368" w:type="dxa"/>
            <w:tcBorders>
              <w:top w:val="single" w:sz="4" w:space="0" w:color="auto"/>
              <w:bottom w:val="nil"/>
            </w:tcBorders>
          </w:tcPr>
          <w:p w14:paraId="364BBA43" w14:textId="77777777" w:rsidR="00AF2C5E" w:rsidRPr="00AF2C5E" w:rsidRDefault="00AF2C5E">
            <w:pPr>
              <w:pStyle w:val="T1a"/>
              <w:keepNext/>
              <w:jc w:val="center"/>
              <w:rPr>
                <w:szCs w:val="24"/>
                <w:lang w:bidi="he-IL"/>
              </w:rPr>
            </w:pPr>
          </w:p>
        </w:tc>
        <w:tc>
          <w:tcPr>
            <w:tcW w:w="1152" w:type="dxa"/>
            <w:tcBorders>
              <w:top w:val="single" w:sz="4" w:space="0" w:color="auto"/>
              <w:bottom w:val="nil"/>
            </w:tcBorders>
          </w:tcPr>
          <w:p w14:paraId="123563AD" w14:textId="77777777" w:rsidR="00AF2C5E" w:rsidRPr="00AF2C5E" w:rsidRDefault="00AF2C5E">
            <w:pPr>
              <w:pStyle w:val="T1a"/>
              <w:keepNext/>
              <w:jc w:val="center"/>
              <w:rPr>
                <w:szCs w:val="24"/>
                <w:lang w:bidi="he-IL"/>
              </w:rPr>
            </w:pPr>
          </w:p>
        </w:tc>
        <w:tc>
          <w:tcPr>
            <w:tcW w:w="1584" w:type="dxa"/>
            <w:tcBorders>
              <w:top w:val="single" w:sz="4" w:space="0" w:color="auto"/>
              <w:bottom w:val="nil"/>
              <w:right w:val="nil"/>
            </w:tcBorders>
          </w:tcPr>
          <w:p w14:paraId="253D9454" w14:textId="77777777" w:rsidR="00AF2C5E" w:rsidRPr="00AF2C5E" w:rsidRDefault="00AF2C5E">
            <w:pPr>
              <w:pStyle w:val="T1a"/>
              <w:keepNext/>
              <w:jc w:val="center"/>
              <w:rPr>
                <w:szCs w:val="24"/>
                <w:lang w:bidi="he-IL"/>
              </w:rPr>
            </w:pPr>
          </w:p>
        </w:tc>
      </w:tr>
      <w:tr w:rsidR="00AF2C5E" w:rsidRPr="00AF2C5E" w14:paraId="23BD2F4B" w14:textId="77777777">
        <w:trPr>
          <w:cantSplit/>
        </w:trPr>
        <w:tc>
          <w:tcPr>
            <w:tcW w:w="3583" w:type="dxa"/>
            <w:tcBorders>
              <w:top w:val="nil"/>
              <w:left w:val="nil"/>
              <w:bottom w:val="nil"/>
            </w:tcBorders>
          </w:tcPr>
          <w:p w14:paraId="56D5186A" w14:textId="77777777" w:rsidR="00AF2C5E" w:rsidRPr="00AF2C5E" w:rsidRDefault="00AF2C5E">
            <w:pPr>
              <w:pStyle w:val="T2"/>
              <w:keepNext/>
              <w:numPr>
                <w:ilvl w:val="0"/>
                <w:numId w:val="23"/>
              </w:numPr>
              <w:tabs>
                <w:tab w:val="clear" w:pos="360"/>
              </w:tabs>
              <w:spacing w:before="0" w:after="0"/>
              <w:rPr>
                <w:szCs w:val="24"/>
                <w:lang w:bidi="he-IL"/>
              </w:rPr>
            </w:pPr>
            <w:r w:rsidRPr="00AF2C5E">
              <w:rPr>
                <w:noProof/>
                <w:szCs w:val="24"/>
                <w:lang w:bidi="he-IL"/>
              </w:rPr>
              <w:t>Number of patients with event</w:t>
            </w:r>
          </w:p>
        </w:tc>
        <w:tc>
          <w:tcPr>
            <w:tcW w:w="1368" w:type="dxa"/>
            <w:tcBorders>
              <w:top w:val="nil"/>
              <w:bottom w:val="nil"/>
            </w:tcBorders>
          </w:tcPr>
          <w:p w14:paraId="4816801C" w14:textId="77777777" w:rsidR="00AF2C5E" w:rsidRPr="00AF2C5E" w:rsidRDefault="00AF2C5E">
            <w:pPr>
              <w:pStyle w:val="T2"/>
              <w:keepNext/>
              <w:jc w:val="center"/>
              <w:rPr>
                <w:szCs w:val="24"/>
                <w:lang w:bidi="he-IL"/>
              </w:rPr>
            </w:pPr>
            <w:r w:rsidRPr="00AF2C5E">
              <w:rPr>
                <w:szCs w:val="24"/>
                <w:lang w:bidi="he-IL"/>
              </w:rPr>
              <w:t>195 (18.2%)</w:t>
            </w:r>
          </w:p>
        </w:tc>
        <w:tc>
          <w:tcPr>
            <w:tcW w:w="1368" w:type="dxa"/>
            <w:tcBorders>
              <w:top w:val="nil"/>
              <w:bottom w:val="nil"/>
            </w:tcBorders>
          </w:tcPr>
          <w:p w14:paraId="223D97B4" w14:textId="77777777" w:rsidR="00AF2C5E" w:rsidRPr="00AF2C5E" w:rsidRDefault="00AF2C5E">
            <w:pPr>
              <w:pStyle w:val="T2"/>
              <w:keepNext/>
              <w:jc w:val="center"/>
              <w:rPr>
                <w:szCs w:val="24"/>
                <w:lang w:bidi="he-IL"/>
              </w:rPr>
            </w:pPr>
            <w:r w:rsidRPr="00AF2C5E">
              <w:rPr>
                <w:szCs w:val="24"/>
                <w:lang w:bidi="he-IL"/>
              </w:rPr>
              <w:t>145 (13.5%)</w:t>
            </w:r>
          </w:p>
        </w:tc>
        <w:tc>
          <w:tcPr>
            <w:tcW w:w="1152" w:type="dxa"/>
            <w:tcBorders>
              <w:top w:val="nil"/>
              <w:bottom w:val="nil"/>
            </w:tcBorders>
          </w:tcPr>
          <w:p w14:paraId="2FF18C97" w14:textId="77777777" w:rsidR="00AF2C5E" w:rsidRPr="00AF2C5E" w:rsidRDefault="00AF2C5E">
            <w:pPr>
              <w:pStyle w:val="T2"/>
              <w:keepNext/>
              <w:jc w:val="center"/>
              <w:rPr>
                <w:szCs w:val="24"/>
                <w:lang w:bidi="he-IL"/>
              </w:rPr>
            </w:pPr>
            <w:r w:rsidRPr="00AF2C5E">
              <w:rPr>
                <w:szCs w:val="24"/>
                <w:lang w:bidi="he-IL"/>
              </w:rPr>
              <w:t>0.0003</w:t>
            </w:r>
          </w:p>
        </w:tc>
        <w:tc>
          <w:tcPr>
            <w:tcW w:w="1584" w:type="dxa"/>
            <w:tcBorders>
              <w:top w:val="nil"/>
              <w:bottom w:val="nil"/>
              <w:right w:val="nil"/>
            </w:tcBorders>
          </w:tcPr>
          <w:p w14:paraId="60AB392C" w14:textId="77777777" w:rsidR="00AF2C5E" w:rsidRPr="00AF2C5E" w:rsidRDefault="00AF2C5E">
            <w:pPr>
              <w:pStyle w:val="T2"/>
              <w:keepNext/>
              <w:jc w:val="center"/>
              <w:rPr>
                <w:szCs w:val="24"/>
                <w:lang w:bidi="he-IL"/>
              </w:rPr>
            </w:pPr>
            <w:r w:rsidRPr="00AF2C5E">
              <w:rPr>
                <w:szCs w:val="24"/>
                <w:lang w:bidi="he-IL"/>
              </w:rPr>
              <w:t>0.67 (0.54-0.83)</w:t>
            </w:r>
          </w:p>
        </w:tc>
      </w:tr>
      <w:tr w:rsidR="00AF2C5E" w:rsidRPr="00AF2C5E" w14:paraId="7C9F144D" w14:textId="77777777">
        <w:trPr>
          <w:cantSplit/>
        </w:trPr>
        <w:tc>
          <w:tcPr>
            <w:tcW w:w="3583" w:type="dxa"/>
            <w:tcBorders>
              <w:top w:val="nil"/>
              <w:left w:val="nil"/>
              <w:bottom w:val="single" w:sz="4" w:space="0" w:color="auto"/>
            </w:tcBorders>
          </w:tcPr>
          <w:p w14:paraId="2BCC0FB6" w14:textId="77777777" w:rsidR="00AF2C5E" w:rsidRPr="00AF2C5E" w:rsidRDefault="00AF2C5E">
            <w:pPr>
              <w:pStyle w:val="T1b"/>
              <w:keepNext/>
              <w:numPr>
                <w:ilvl w:val="0"/>
                <w:numId w:val="23"/>
              </w:numPr>
              <w:tabs>
                <w:tab w:val="clear" w:pos="360"/>
              </w:tabs>
              <w:rPr>
                <w:szCs w:val="24"/>
                <w:lang w:bidi="he-IL"/>
              </w:rPr>
            </w:pPr>
            <w:r w:rsidRPr="00AF2C5E">
              <w:rPr>
                <w:noProof/>
                <w:szCs w:val="24"/>
                <w:lang w:bidi="he-IL"/>
              </w:rPr>
              <w:t>Number of patients without event</w:t>
            </w:r>
          </w:p>
        </w:tc>
        <w:tc>
          <w:tcPr>
            <w:tcW w:w="1368" w:type="dxa"/>
            <w:tcBorders>
              <w:top w:val="nil"/>
              <w:bottom w:val="single" w:sz="4" w:space="0" w:color="auto"/>
            </w:tcBorders>
          </w:tcPr>
          <w:p w14:paraId="4E838D30" w14:textId="77777777" w:rsidR="00AF2C5E" w:rsidRPr="00AF2C5E" w:rsidRDefault="00AF2C5E">
            <w:pPr>
              <w:pStyle w:val="T1b"/>
              <w:keepNext/>
              <w:jc w:val="center"/>
              <w:rPr>
                <w:szCs w:val="24"/>
                <w:lang w:bidi="he-IL"/>
              </w:rPr>
            </w:pPr>
            <w:r w:rsidRPr="00AF2C5E">
              <w:rPr>
                <w:szCs w:val="24"/>
                <w:lang w:bidi="he-IL"/>
              </w:rPr>
              <w:t>878 (81.8%)</w:t>
            </w:r>
          </w:p>
        </w:tc>
        <w:tc>
          <w:tcPr>
            <w:tcW w:w="1368" w:type="dxa"/>
            <w:tcBorders>
              <w:top w:val="nil"/>
              <w:bottom w:val="single" w:sz="4" w:space="0" w:color="auto"/>
            </w:tcBorders>
          </w:tcPr>
          <w:p w14:paraId="27CC3CA3" w14:textId="77777777" w:rsidR="00AF2C5E" w:rsidRPr="00AF2C5E" w:rsidRDefault="00AF2C5E">
            <w:pPr>
              <w:pStyle w:val="T1b"/>
              <w:keepNext/>
              <w:jc w:val="center"/>
              <w:rPr>
                <w:szCs w:val="24"/>
                <w:lang w:bidi="he-IL"/>
              </w:rPr>
            </w:pPr>
            <w:r w:rsidRPr="00AF2C5E">
              <w:rPr>
                <w:szCs w:val="24"/>
                <w:lang w:bidi="he-IL"/>
              </w:rPr>
              <w:t>930 (86.5%)</w:t>
            </w:r>
          </w:p>
        </w:tc>
        <w:tc>
          <w:tcPr>
            <w:tcW w:w="1152" w:type="dxa"/>
            <w:tcBorders>
              <w:top w:val="nil"/>
              <w:bottom w:val="single" w:sz="4" w:space="0" w:color="auto"/>
            </w:tcBorders>
          </w:tcPr>
          <w:p w14:paraId="613EF6A8" w14:textId="77777777" w:rsidR="00AF2C5E" w:rsidRPr="00AF2C5E" w:rsidRDefault="00AF2C5E">
            <w:pPr>
              <w:pStyle w:val="T1b"/>
              <w:keepNext/>
              <w:jc w:val="center"/>
              <w:rPr>
                <w:szCs w:val="24"/>
                <w:lang w:bidi="he-IL"/>
              </w:rPr>
            </w:pPr>
          </w:p>
        </w:tc>
        <w:tc>
          <w:tcPr>
            <w:tcW w:w="1584" w:type="dxa"/>
            <w:tcBorders>
              <w:top w:val="nil"/>
              <w:bottom w:val="single" w:sz="4" w:space="0" w:color="auto"/>
              <w:right w:val="nil"/>
            </w:tcBorders>
          </w:tcPr>
          <w:p w14:paraId="478962C6" w14:textId="77777777" w:rsidR="00AF2C5E" w:rsidRPr="00AF2C5E" w:rsidRDefault="00AF2C5E">
            <w:pPr>
              <w:pStyle w:val="T1b"/>
              <w:keepNext/>
              <w:jc w:val="center"/>
              <w:rPr>
                <w:szCs w:val="24"/>
                <w:lang w:bidi="he-IL"/>
              </w:rPr>
            </w:pPr>
          </w:p>
        </w:tc>
      </w:tr>
      <w:tr w:rsidR="00AF2C5E" w:rsidRPr="00AF2C5E" w14:paraId="190C826D" w14:textId="77777777">
        <w:trPr>
          <w:cantSplit/>
        </w:trPr>
        <w:tc>
          <w:tcPr>
            <w:tcW w:w="3583" w:type="dxa"/>
            <w:tcBorders>
              <w:top w:val="single" w:sz="4" w:space="0" w:color="auto"/>
              <w:left w:val="nil"/>
              <w:bottom w:val="nil"/>
            </w:tcBorders>
          </w:tcPr>
          <w:p w14:paraId="7DDACE06" w14:textId="77777777" w:rsidR="00AF2C5E" w:rsidRPr="00AF2C5E" w:rsidRDefault="00AF2C5E">
            <w:pPr>
              <w:pStyle w:val="T1a"/>
              <w:keepNext/>
              <w:rPr>
                <w:szCs w:val="24"/>
                <w:lang w:bidi="he-IL"/>
              </w:rPr>
            </w:pPr>
            <w:r w:rsidRPr="00AF2C5E">
              <w:rPr>
                <w:noProof/>
                <w:szCs w:val="24"/>
                <w:lang w:bidi="he-IL"/>
              </w:rPr>
              <w:t>Distant metastases</w:t>
            </w:r>
          </w:p>
        </w:tc>
        <w:tc>
          <w:tcPr>
            <w:tcW w:w="1368" w:type="dxa"/>
            <w:tcBorders>
              <w:top w:val="single" w:sz="4" w:space="0" w:color="auto"/>
              <w:bottom w:val="nil"/>
            </w:tcBorders>
          </w:tcPr>
          <w:p w14:paraId="4E1EA65A" w14:textId="77777777" w:rsidR="00AF2C5E" w:rsidRPr="00AF2C5E" w:rsidRDefault="00AF2C5E">
            <w:pPr>
              <w:pStyle w:val="T1a"/>
              <w:keepNext/>
              <w:jc w:val="center"/>
              <w:rPr>
                <w:szCs w:val="24"/>
                <w:lang w:bidi="he-IL"/>
              </w:rPr>
            </w:pPr>
          </w:p>
        </w:tc>
        <w:tc>
          <w:tcPr>
            <w:tcW w:w="1368" w:type="dxa"/>
            <w:tcBorders>
              <w:top w:val="single" w:sz="4" w:space="0" w:color="auto"/>
              <w:bottom w:val="nil"/>
            </w:tcBorders>
          </w:tcPr>
          <w:p w14:paraId="08E0B360" w14:textId="77777777" w:rsidR="00AF2C5E" w:rsidRPr="00AF2C5E" w:rsidRDefault="00AF2C5E">
            <w:pPr>
              <w:pStyle w:val="T1a"/>
              <w:keepNext/>
              <w:jc w:val="center"/>
              <w:rPr>
                <w:szCs w:val="24"/>
                <w:lang w:bidi="he-IL"/>
              </w:rPr>
            </w:pPr>
          </w:p>
        </w:tc>
        <w:tc>
          <w:tcPr>
            <w:tcW w:w="1152" w:type="dxa"/>
            <w:tcBorders>
              <w:top w:val="single" w:sz="4" w:space="0" w:color="auto"/>
              <w:bottom w:val="nil"/>
            </w:tcBorders>
          </w:tcPr>
          <w:p w14:paraId="2F4E13D6" w14:textId="77777777" w:rsidR="00AF2C5E" w:rsidRPr="00AF2C5E" w:rsidRDefault="00AF2C5E">
            <w:pPr>
              <w:pStyle w:val="T1a"/>
              <w:keepNext/>
              <w:jc w:val="center"/>
              <w:rPr>
                <w:szCs w:val="24"/>
                <w:lang w:bidi="he-IL"/>
              </w:rPr>
            </w:pPr>
          </w:p>
        </w:tc>
        <w:tc>
          <w:tcPr>
            <w:tcW w:w="1584" w:type="dxa"/>
            <w:tcBorders>
              <w:top w:val="single" w:sz="4" w:space="0" w:color="auto"/>
              <w:bottom w:val="nil"/>
              <w:right w:val="nil"/>
            </w:tcBorders>
          </w:tcPr>
          <w:p w14:paraId="615BC7CA" w14:textId="77777777" w:rsidR="00AF2C5E" w:rsidRPr="00AF2C5E" w:rsidRDefault="00AF2C5E">
            <w:pPr>
              <w:pStyle w:val="T1a"/>
              <w:keepNext/>
              <w:jc w:val="center"/>
              <w:rPr>
                <w:szCs w:val="24"/>
                <w:lang w:bidi="he-IL"/>
              </w:rPr>
            </w:pPr>
          </w:p>
        </w:tc>
      </w:tr>
      <w:tr w:rsidR="00AF2C5E" w:rsidRPr="00AF2C5E" w14:paraId="1B2329B4" w14:textId="77777777">
        <w:trPr>
          <w:cantSplit/>
        </w:trPr>
        <w:tc>
          <w:tcPr>
            <w:tcW w:w="3583" w:type="dxa"/>
            <w:tcBorders>
              <w:top w:val="nil"/>
              <w:left w:val="nil"/>
              <w:bottom w:val="nil"/>
            </w:tcBorders>
          </w:tcPr>
          <w:p w14:paraId="0FF4549C" w14:textId="77777777" w:rsidR="00AF2C5E" w:rsidRPr="00AF2C5E" w:rsidRDefault="00AF2C5E">
            <w:pPr>
              <w:pStyle w:val="T2"/>
              <w:keepNext/>
              <w:numPr>
                <w:ilvl w:val="0"/>
                <w:numId w:val="23"/>
              </w:numPr>
              <w:tabs>
                <w:tab w:val="clear" w:pos="360"/>
              </w:tabs>
              <w:spacing w:before="0" w:after="0"/>
              <w:rPr>
                <w:szCs w:val="24"/>
                <w:lang w:bidi="he-IL"/>
              </w:rPr>
            </w:pPr>
            <w:r w:rsidRPr="00AF2C5E">
              <w:rPr>
                <w:noProof/>
                <w:szCs w:val="24"/>
                <w:lang w:bidi="he-IL"/>
              </w:rPr>
              <w:t>Number of patients with event</w:t>
            </w:r>
          </w:p>
        </w:tc>
        <w:tc>
          <w:tcPr>
            <w:tcW w:w="1368" w:type="dxa"/>
            <w:tcBorders>
              <w:top w:val="nil"/>
              <w:bottom w:val="nil"/>
            </w:tcBorders>
          </w:tcPr>
          <w:p w14:paraId="2B5EA350" w14:textId="77777777" w:rsidR="00AF2C5E" w:rsidRPr="00AF2C5E" w:rsidRDefault="00AF2C5E">
            <w:pPr>
              <w:pStyle w:val="T2"/>
              <w:keepNext/>
              <w:jc w:val="center"/>
              <w:rPr>
                <w:szCs w:val="24"/>
                <w:lang w:bidi="he-IL"/>
              </w:rPr>
            </w:pPr>
            <w:r w:rsidRPr="00AF2C5E">
              <w:rPr>
                <w:szCs w:val="24"/>
                <w:lang w:bidi="he-IL"/>
              </w:rPr>
              <w:t>144 (13.4%)</w:t>
            </w:r>
          </w:p>
        </w:tc>
        <w:tc>
          <w:tcPr>
            <w:tcW w:w="1368" w:type="dxa"/>
            <w:tcBorders>
              <w:top w:val="nil"/>
              <w:bottom w:val="nil"/>
            </w:tcBorders>
          </w:tcPr>
          <w:p w14:paraId="68AC0834" w14:textId="77777777" w:rsidR="00AF2C5E" w:rsidRPr="00AF2C5E" w:rsidRDefault="00AF2C5E">
            <w:pPr>
              <w:pStyle w:val="T2"/>
              <w:keepNext/>
              <w:jc w:val="center"/>
              <w:rPr>
                <w:szCs w:val="24"/>
                <w:lang w:bidi="he-IL"/>
              </w:rPr>
            </w:pPr>
            <w:r w:rsidRPr="00AF2C5E">
              <w:rPr>
                <w:szCs w:val="24"/>
                <w:lang w:bidi="he-IL"/>
              </w:rPr>
              <w:t>103 (9.6%)</w:t>
            </w:r>
          </w:p>
        </w:tc>
        <w:tc>
          <w:tcPr>
            <w:tcW w:w="1152" w:type="dxa"/>
            <w:tcBorders>
              <w:top w:val="nil"/>
              <w:bottom w:val="nil"/>
            </w:tcBorders>
          </w:tcPr>
          <w:p w14:paraId="2AC3B26C" w14:textId="77777777" w:rsidR="00AF2C5E" w:rsidRPr="00AF2C5E" w:rsidRDefault="00AF2C5E">
            <w:pPr>
              <w:pStyle w:val="T2"/>
              <w:keepNext/>
              <w:jc w:val="center"/>
              <w:rPr>
                <w:szCs w:val="24"/>
                <w:lang w:bidi="he-IL"/>
              </w:rPr>
            </w:pPr>
            <w:r w:rsidRPr="00AF2C5E">
              <w:rPr>
                <w:szCs w:val="24"/>
                <w:lang w:bidi="he-IL"/>
              </w:rPr>
              <w:t>0.0008</w:t>
            </w:r>
          </w:p>
        </w:tc>
        <w:tc>
          <w:tcPr>
            <w:tcW w:w="1584" w:type="dxa"/>
            <w:tcBorders>
              <w:top w:val="nil"/>
              <w:bottom w:val="nil"/>
              <w:right w:val="nil"/>
            </w:tcBorders>
          </w:tcPr>
          <w:p w14:paraId="30A0928E" w14:textId="77777777" w:rsidR="00AF2C5E" w:rsidRPr="00AF2C5E" w:rsidRDefault="00AF2C5E">
            <w:pPr>
              <w:pStyle w:val="T2"/>
              <w:keepNext/>
              <w:jc w:val="center"/>
              <w:rPr>
                <w:szCs w:val="24"/>
                <w:lang w:bidi="he-IL"/>
              </w:rPr>
            </w:pPr>
            <w:r w:rsidRPr="00AF2C5E">
              <w:rPr>
                <w:szCs w:val="24"/>
                <w:lang w:bidi="he-IL"/>
              </w:rPr>
              <w:t>0.65 (0.50-0.84)</w:t>
            </w:r>
          </w:p>
        </w:tc>
      </w:tr>
      <w:tr w:rsidR="00AF2C5E" w:rsidRPr="00AF2C5E" w14:paraId="424E9256" w14:textId="77777777">
        <w:trPr>
          <w:cantSplit/>
        </w:trPr>
        <w:tc>
          <w:tcPr>
            <w:tcW w:w="3583" w:type="dxa"/>
            <w:tcBorders>
              <w:top w:val="nil"/>
              <w:left w:val="nil"/>
              <w:bottom w:val="single" w:sz="4" w:space="0" w:color="auto"/>
            </w:tcBorders>
          </w:tcPr>
          <w:p w14:paraId="2F03A93F" w14:textId="77777777" w:rsidR="00AF2C5E" w:rsidRPr="00AF2C5E" w:rsidRDefault="00AF2C5E">
            <w:pPr>
              <w:pStyle w:val="T1b"/>
              <w:keepNext/>
              <w:numPr>
                <w:ilvl w:val="0"/>
                <w:numId w:val="23"/>
              </w:numPr>
              <w:tabs>
                <w:tab w:val="clear" w:pos="360"/>
              </w:tabs>
              <w:rPr>
                <w:szCs w:val="24"/>
                <w:lang w:bidi="he-IL"/>
              </w:rPr>
            </w:pPr>
            <w:r w:rsidRPr="00AF2C5E">
              <w:rPr>
                <w:noProof/>
                <w:szCs w:val="24"/>
                <w:lang w:bidi="he-IL"/>
              </w:rPr>
              <w:t>Number of patients without event</w:t>
            </w:r>
          </w:p>
        </w:tc>
        <w:tc>
          <w:tcPr>
            <w:tcW w:w="1368" w:type="dxa"/>
            <w:tcBorders>
              <w:top w:val="nil"/>
              <w:bottom w:val="single" w:sz="4" w:space="0" w:color="auto"/>
            </w:tcBorders>
          </w:tcPr>
          <w:p w14:paraId="3A809AF9" w14:textId="77777777" w:rsidR="00AF2C5E" w:rsidRPr="00AF2C5E" w:rsidRDefault="00AF2C5E">
            <w:pPr>
              <w:pStyle w:val="T1b"/>
              <w:keepNext/>
              <w:jc w:val="center"/>
              <w:rPr>
                <w:szCs w:val="24"/>
                <w:lang w:bidi="he-IL"/>
              </w:rPr>
            </w:pPr>
            <w:r w:rsidRPr="00AF2C5E">
              <w:rPr>
                <w:szCs w:val="24"/>
                <w:lang w:bidi="he-IL"/>
              </w:rPr>
              <w:t>929 (86.6%)</w:t>
            </w:r>
          </w:p>
        </w:tc>
        <w:tc>
          <w:tcPr>
            <w:tcW w:w="1368" w:type="dxa"/>
            <w:tcBorders>
              <w:top w:val="nil"/>
              <w:bottom w:val="single" w:sz="4" w:space="0" w:color="auto"/>
            </w:tcBorders>
          </w:tcPr>
          <w:p w14:paraId="72C60810" w14:textId="77777777" w:rsidR="00AF2C5E" w:rsidRPr="00AF2C5E" w:rsidRDefault="00AF2C5E">
            <w:pPr>
              <w:pStyle w:val="T1b"/>
              <w:keepNext/>
              <w:jc w:val="center"/>
              <w:rPr>
                <w:szCs w:val="24"/>
                <w:lang w:bidi="he-IL"/>
              </w:rPr>
            </w:pPr>
            <w:r w:rsidRPr="00AF2C5E">
              <w:rPr>
                <w:szCs w:val="24"/>
                <w:lang w:bidi="he-IL"/>
              </w:rPr>
              <w:t>972 (90.4%)</w:t>
            </w:r>
          </w:p>
        </w:tc>
        <w:tc>
          <w:tcPr>
            <w:tcW w:w="1152" w:type="dxa"/>
            <w:tcBorders>
              <w:top w:val="nil"/>
              <w:bottom w:val="single" w:sz="4" w:space="0" w:color="auto"/>
            </w:tcBorders>
          </w:tcPr>
          <w:p w14:paraId="32304433" w14:textId="77777777" w:rsidR="00AF2C5E" w:rsidRPr="00AF2C5E" w:rsidRDefault="00AF2C5E">
            <w:pPr>
              <w:pStyle w:val="T1b"/>
              <w:keepNext/>
              <w:jc w:val="center"/>
              <w:rPr>
                <w:szCs w:val="24"/>
                <w:lang w:bidi="he-IL"/>
              </w:rPr>
            </w:pPr>
          </w:p>
        </w:tc>
        <w:tc>
          <w:tcPr>
            <w:tcW w:w="1584" w:type="dxa"/>
            <w:tcBorders>
              <w:top w:val="nil"/>
              <w:bottom w:val="single" w:sz="4" w:space="0" w:color="auto"/>
              <w:right w:val="nil"/>
            </w:tcBorders>
          </w:tcPr>
          <w:p w14:paraId="00B53212" w14:textId="77777777" w:rsidR="00AF2C5E" w:rsidRPr="00AF2C5E" w:rsidRDefault="00AF2C5E">
            <w:pPr>
              <w:pStyle w:val="T1b"/>
              <w:keepNext/>
              <w:jc w:val="center"/>
              <w:rPr>
                <w:szCs w:val="24"/>
                <w:lang w:bidi="he-IL"/>
              </w:rPr>
            </w:pPr>
          </w:p>
        </w:tc>
      </w:tr>
      <w:tr w:rsidR="00AF2C5E" w:rsidRPr="00AF2C5E" w14:paraId="5A3A5507" w14:textId="77777777">
        <w:trPr>
          <w:cantSplit/>
        </w:trPr>
        <w:tc>
          <w:tcPr>
            <w:tcW w:w="3583" w:type="dxa"/>
            <w:tcBorders>
              <w:top w:val="single" w:sz="4" w:space="0" w:color="auto"/>
              <w:left w:val="nil"/>
              <w:bottom w:val="nil"/>
            </w:tcBorders>
          </w:tcPr>
          <w:p w14:paraId="5B50D71E" w14:textId="77777777" w:rsidR="00AF2C5E" w:rsidRPr="00AF2C5E" w:rsidRDefault="00AF2C5E">
            <w:pPr>
              <w:pStyle w:val="T1a"/>
              <w:keepNext/>
              <w:rPr>
                <w:szCs w:val="24"/>
                <w:lang w:bidi="he-IL"/>
              </w:rPr>
            </w:pPr>
            <w:r w:rsidRPr="00AF2C5E">
              <w:rPr>
                <w:noProof/>
                <w:szCs w:val="24"/>
                <w:lang w:bidi="he-IL"/>
              </w:rPr>
              <w:t>Death (overall survival event)</w:t>
            </w:r>
          </w:p>
        </w:tc>
        <w:tc>
          <w:tcPr>
            <w:tcW w:w="1368" w:type="dxa"/>
            <w:tcBorders>
              <w:top w:val="single" w:sz="4" w:space="0" w:color="auto"/>
              <w:bottom w:val="nil"/>
            </w:tcBorders>
          </w:tcPr>
          <w:p w14:paraId="47597217" w14:textId="77777777" w:rsidR="00AF2C5E" w:rsidRPr="00AF2C5E" w:rsidRDefault="00AF2C5E">
            <w:pPr>
              <w:pStyle w:val="T1a"/>
              <w:keepNext/>
              <w:jc w:val="center"/>
              <w:rPr>
                <w:szCs w:val="24"/>
                <w:lang w:bidi="he-IL"/>
              </w:rPr>
            </w:pPr>
          </w:p>
        </w:tc>
        <w:tc>
          <w:tcPr>
            <w:tcW w:w="1368" w:type="dxa"/>
            <w:tcBorders>
              <w:top w:val="single" w:sz="4" w:space="0" w:color="auto"/>
              <w:bottom w:val="nil"/>
            </w:tcBorders>
          </w:tcPr>
          <w:p w14:paraId="4D7AAE2D" w14:textId="77777777" w:rsidR="00AF2C5E" w:rsidRPr="00AF2C5E" w:rsidRDefault="00AF2C5E">
            <w:pPr>
              <w:pStyle w:val="T1a"/>
              <w:keepNext/>
              <w:jc w:val="center"/>
              <w:rPr>
                <w:szCs w:val="24"/>
                <w:lang w:bidi="he-IL"/>
              </w:rPr>
            </w:pPr>
          </w:p>
        </w:tc>
        <w:tc>
          <w:tcPr>
            <w:tcW w:w="1152" w:type="dxa"/>
            <w:tcBorders>
              <w:top w:val="single" w:sz="4" w:space="0" w:color="auto"/>
              <w:bottom w:val="nil"/>
            </w:tcBorders>
          </w:tcPr>
          <w:p w14:paraId="7678DBAC" w14:textId="77777777" w:rsidR="00AF2C5E" w:rsidRPr="00AF2C5E" w:rsidRDefault="00AF2C5E">
            <w:pPr>
              <w:pStyle w:val="T1a"/>
              <w:keepNext/>
              <w:jc w:val="center"/>
              <w:rPr>
                <w:szCs w:val="24"/>
                <w:lang w:bidi="he-IL"/>
              </w:rPr>
            </w:pPr>
          </w:p>
        </w:tc>
        <w:tc>
          <w:tcPr>
            <w:tcW w:w="1584" w:type="dxa"/>
            <w:tcBorders>
              <w:top w:val="single" w:sz="4" w:space="0" w:color="auto"/>
              <w:bottom w:val="nil"/>
              <w:right w:val="nil"/>
            </w:tcBorders>
          </w:tcPr>
          <w:p w14:paraId="159041D5" w14:textId="77777777" w:rsidR="00AF2C5E" w:rsidRPr="00AF2C5E" w:rsidRDefault="00AF2C5E">
            <w:pPr>
              <w:pStyle w:val="T1a"/>
              <w:keepNext/>
              <w:jc w:val="center"/>
              <w:rPr>
                <w:szCs w:val="24"/>
                <w:lang w:bidi="he-IL"/>
              </w:rPr>
            </w:pPr>
          </w:p>
        </w:tc>
      </w:tr>
      <w:tr w:rsidR="00AF2C5E" w:rsidRPr="00AF2C5E" w14:paraId="74280487" w14:textId="77777777">
        <w:trPr>
          <w:cantSplit/>
        </w:trPr>
        <w:tc>
          <w:tcPr>
            <w:tcW w:w="3583" w:type="dxa"/>
            <w:tcBorders>
              <w:top w:val="nil"/>
              <w:left w:val="nil"/>
              <w:bottom w:val="nil"/>
            </w:tcBorders>
          </w:tcPr>
          <w:p w14:paraId="0ADCE6C8" w14:textId="77777777" w:rsidR="00AF2C5E" w:rsidRPr="00AF2C5E" w:rsidRDefault="00AF2C5E">
            <w:pPr>
              <w:pStyle w:val="T2"/>
              <w:keepNext/>
              <w:numPr>
                <w:ilvl w:val="0"/>
                <w:numId w:val="23"/>
              </w:numPr>
              <w:tabs>
                <w:tab w:val="clear" w:pos="360"/>
              </w:tabs>
              <w:spacing w:before="0" w:after="0"/>
              <w:rPr>
                <w:szCs w:val="24"/>
                <w:lang w:bidi="he-IL"/>
              </w:rPr>
            </w:pPr>
            <w:r w:rsidRPr="00AF2C5E">
              <w:rPr>
                <w:noProof/>
                <w:szCs w:val="24"/>
                <w:lang w:bidi="he-IL"/>
              </w:rPr>
              <w:t>Number of patients with event</w:t>
            </w:r>
          </w:p>
        </w:tc>
        <w:tc>
          <w:tcPr>
            <w:tcW w:w="1368" w:type="dxa"/>
            <w:tcBorders>
              <w:top w:val="nil"/>
              <w:bottom w:val="nil"/>
            </w:tcBorders>
          </w:tcPr>
          <w:p w14:paraId="578E3616" w14:textId="77777777" w:rsidR="00AF2C5E" w:rsidRPr="00AF2C5E" w:rsidRDefault="00AF2C5E">
            <w:pPr>
              <w:pStyle w:val="T2"/>
              <w:keepNext/>
              <w:jc w:val="center"/>
              <w:rPr>
                <w:szCs w:val="24"/>
                <w:lang w:bidi="he-IL"/>
              </w:rPr>
            </w:pPr>
            <w:r w:rsidRPr="00AF2C5E">
              <w:rPr>
                <w:szCs w:val="24"/>
                <w:lang w:bidi="he-IL"/>
              </w:rPr>
              <w:t>80 (7.5%)</w:t>
            </w:r>
          </w:p>
        </w:tc>
        <w:tc>
          <w:tcPr>
            <w:tcW w:w="1368" w:type="dxa"/>
            <w:tcBorders>
              <w:top w:val="nil"/>
              <w:bottom w:val="nil"/>
            </w:tcBorders>
          </w:tcPr>
          <w:p w14:paraId="05BDC303" w14:textId="77777777" w:rsidR="00AF2C5E" w:rsidRPr="00AF2C5E" w:rsidRDefault="00AF2C5E">
            <w:pPr>
              <w:pStyle w:val="T2"/>
              <w:keepNext/>
              <w:jc w:val="center"/>
              <w:rPr>
                <w:szCs w:val="24"/>
                <w:lang w:bidi="he-IL"/>
              </w:rPr>
            </w:pPr>
            <w:r w:rsidRPr="00AF2C5E">
              <w:rPr>
                <w:szCs w:val="24"/>
                <w:lang w:bidi="he-IL"/>
              </w:rPr>
              <w:t>56 (5.2%)</w:t>
            </w:r>
          </w:p>
        </w:tc>
        <w:tc>
          <w:tcPr>
            <w:tcW w:w="1152" w:type="dxa"/>
            <w:tcBorders>
              <w:top w:val="nil"/>
              <w:bottom w:val="nil"/>
            </w:tcBorders>
          </w:tcPr>
          <w:p w14:paraId="5BEEF579" w14:textId="77777777" w:rsidR="00AF2C5E" w:rsidRPr="00AF2C5E" w:rsidRDefault="00AF2C5E">
            <w:pPr>
              <w:pStyle w:val="T2"/>
              <w:keepNext/>
              <w:jc w:val="center"/>
              <w:rPr>
                <w:szCs w:val="24"/>
                <w:lang w:bidi="he-IL"/>
              </w:rPr>
            </w:pPr>
            <w:r w:rsidRPr="00AF2C5E">
              <w:rPr>
                <w:szCs w:val="24"/>
                <w:lang w:bidi="he-IL"/>
              </w:rPr>
              <w:t>0.0182</w:t>
            </w:r>
          </w:p>
        </w:tc>
        <w:tc>
          <w:tcPr>
            <w:tcW w:w="1584" w:type="dxa"/>
            <w:tcBorders>
              <w:top w:val="nil"/>
              <w:bottom w:val="nil"/>
              <w:right w:val="nil"/>
            </w:tcBorders>
          </w:tcPr>
          <w:p w14:paraId="794C0350" w14:textId="77777777" w:rsidR="00AF2C5E" w:rsidRPr="00AF2C5E" w:rsidRDefault="00AF2C5E">
            <w:pPr>
              <w:pStyle w:val="T2"/>
              <w:keepNext/>
              <w:jc w:val="center"/>
              <w:rPr>
                <w:szCs w:val="24"/>
                <w:lang w:bidi="he-IL"/>
              </w:rPr>
            </w:pPr>
            <w:r w:rsidRPr="00AF2C5E">
              <w:rPr>
                <w:szCs w:val="24"/>
                <w:lang w:bidi="he-IL"/>
              </w:rPr>
              <w:t>0.66 (0.47-0.93)</w:t>
            </w:r>
          </w:p>
        </w:tc>
      </w:tr>
      <w:tr w:rsidR="00AF2C5E" w:rsidRPr="00AF2C5E" w14:paraId="2389BCBA" w14:textId="77777777">
        <w:trPr>
          <w:cantSplit/>
        </w:trPr>
        <w:tc>
          <w:tcPr>
            <w:tcW w:w="3583" w:type="dxa"/>
            <w:tcBorders>
              <w:top w:val="nil"/>
              <w:left w:val="nil"/>
              <w:bottom w:val="single" w:sz="4" w:space="0" w:color="auto"/>
            </w:tcBorders>
          </w:tcPr>
          <w:p w14:paraId="3E42A19C" w14:textId="77777777" w:rsidR="00AF2C5E" w:rsidRPr="00AF2C5E" w:rsidRDefault="00AF2C5E">
            <w:pPr>
              <w:pStyle w:val="T1b"/>
              <w:keepNext/>
              <w:numPr>
                <w:ilvl w:val="0"/>
                <w:numId w:val="23"/>
              </w:numPr>
              <w:tabs>
                <w:tab w:val="clear" w:pos="360"/>
              </w:tabs>
              <w:rPr>
                <w:szCs w:val="24"/>
                <w:lang w:bidi="he-IL"/>
              </w:rPr>
            </w:pPr>
            <w:r w:rsidRPr="00AF2C5E">
              <w:rPr>
                <w:noProof/>
                <w:szCs w:val="24"/>
                <w:lang w:bidi="he-IL"/>
              </w:rPr>
              <w:t>Number of patients without event</w:t>
            </w:r>
          </w:p>
        </w:tc>
        <w:tc>
          <w:tcPr>
            <w:tcW w:w="1368" w:type="dxa"/>
            <w:tcBorders>
              <w:top w:val="nil"/>
              <w:bottom w:val="single" w:sz="4" w:space="0" w:color="auto"/>
            </w:tcBorders>
          </w:tcPr>
          <w:p w14:paraId="1D3EAD2C" w14:textId="77777777" w:rsidR="00AF2C5E" w:rsidRPr="00AF2C5E" w:rsidRDefault="00AF2C5E">
            <w:pPr>
              <w:pStyle w:val="T1b"/>
              <w:keepNext/>
              <w:jc w:val="center"/>
              <w:rPr>
                <w:szCs w:val="24"/>
                <w:lang w:bidi="he-IL"/>
              </w:rPr>
            </w:pPr>
            <w:r w:rsidRPr="00AF2C5E">
              <w:rPr>
                <w:szCs w:val="24"/>
                <w:lang w:bidi="he-IL"/>
              </w:rPr>
              <w:t>993 (92.5%)</w:t>
            </w:r>
          </w:p>
        </w:tc>
        <w:tc>
          <w:tcPr>
            <w:tcW w:w="1368" w:type="dxa"/>
            <w:tcBorders>
              <w:top w:val="nil"/>
              <w:bottom w:val="single" w:sz="4" w:space="0" w:color="auto"/>
            </w:tcBorders>
          </w:tcPr>
          <w:p w14:paraId="0886401D" w14:textId="77777777" w:rsidR="00AF2C5E" w:rsidRPr="00AF2C5E" w:rsidRDefault="00AF2C5E">
            <w:pPr>
              <w:pStyle w:val="T1b"/>
              <w:keepNext/>
              <w:jc w:val="center"/>
              <w:rPr>
                <w:szCs w:val="24"/>
                <w:lang w:bidi="he-IL"/>
              </w:rPr>
            </w:pPr>
            <w:r w:rsidRPr="00AF2C5E">
              <w:rPr>
                <w:szCs w:val="24"/>
                <w:lang w:bidi="he-IL"/>
              </w:rPr>
              <w:t>1019 (94.8%)</w:t>
            </w:r>
          </w:p>
        </w:tc>
        <w:tc>
          <w:tcPr>
            <w:tcW w:w="1152" w:type="dxa"/>
            <w:tcBorders>
              <w:top w:val="nil"/>
              <w:bottom w:val="single" w:sz="4" w:space="0" w:color="auto"/>
            </w:tcBorders>
          </w:tcPr>
          <w:p w14:paraId="215644D2" w14:textId="77777777" w:rsidR="00AF2C5E" w:rsidRPr="00AF2C5E" w:rsidRDefault="00AF2C5E">
            <w:pPr>
              <w:pStyle w:val="T1b"/>
              <w:keepNext/>
              <w:jc w:val="center"/>
              <w:rPr>
                <w:szCs w:val="24"/>
                <w:lang w:bidi="he-IL"/>
              </w:rPr>
            </w:pPr>
          </w:p>
        </w:tc>
        <w:tc>
          <w:tcPr>
            <w:tcW w:w="1584" w:type="dxa"/>
            <w:tcBorders>
              <w:top w:val="nil"/>
              <w:bottom w:val="single" w:sz="4" w:space="0" w:color="auto"/>
              <w:right w:val="nil"/>
            </w:tcBorders>
          </w:tcPr>
          <w:p w14:paraId="059AED2E" w14:textId="77777777" w:rsidR="00AF2C5E" w:rsidRPr="00AF2C5E" w:rsidRDefault="00AF2C5E">
            <w:pPr>
              <w:pStyle w:val="T1b"/>
              <w:keepNext/>
              <w:jc w:val="center"/>
              <w:rPr>
                <w:szCs w:val="24"/>
                <w:lang w:bidi="he-IL"/>
              </w:rPr>
            </w:pPr>
          </w:p>
        </w:tc>
      </w:tr>
    </w:tbl>
    <w:p w14:paraId="7619FC31" w14:textId="77777777" w:rsidR="00AF2C5E" w:rsidRDefault="00AF2C5E">
      <w:pPr>
        <w:pStyle w:val="T1"/>
        <w:keepLines/>
        <w:rPr>
          <w:rFonts w:cs="Arial"/>
          <w:szCs w:val="24"/>
        </w:rPr>
      </w:pPr>
      <w:r>
        <w:rPr>
          <w:rFonts w:cs="Arial"/>
          <w:szCs w:val="24"/>
        </w:rPr>
        <w:t>AC→D = doxorubicin plus cyclophosphamide, followed by docetaxel; DCarbH = docetaxel, carboplatin and Herceptin; CI = confidence interval</w:t>
      </w:r>
    </w:p>
    <w:p w14:paraId="5DECCEB9" w14:textId="77777777" w:rsidR="00AF2C5E" w:rsidRDefault="00AF2C5E">
      <w:pPr>
        <w:pStyle w:val="J1"/>
      </w:pPr>
      <w:r>
        <w:t>For the primary endpoint, disease-free survival, the hazard ratio in the BCIRG 006 study reflects an absolute benefit in 3-year disease-free survival of 5.8 percentage points (86.7% vs 80.9%) in favour of the AC→DH (Herceptin) arm and 4.6 percentage points (85.5% vs 80.9%) in favour of the DCarbH (Herceptin) arm compared to AC→D.</w:t>
      </w:r>
    </w:p>
    <w:p w14:paraId="60C370D6" w14:textId="77777777" w:rsidR="00AF2C5E" w:rsidRDefault="00AF2C5E">
      <w:pPr>
        <w:pStyle w:val="J1"/>
      </w:pPr>
      <w:r>
        <w:t>For the secondary endpoint, overall survival, treatment with AC→DH reduced the risk of death by 42% compared to AC→D; in patients treated with DCarbH the risk of death was reduced by 34% compared to AC→D.</w:t>
      </w:r>
    </w:p>
    <w:p w14:paraId="44CCB595" w14:textId="77777777" w:rsidR="00AF2C5E" w:rsidRDefault="00AF2C5E">
      <w:pPr>
        <w:pStyle w:val="J1"/>
      </w:pPr>
      <w:r>
        <w:t>In study BCIRG 006, 213/1075 patients in the DCarbH arm, 221/1074 patients in the AC→DH arm and 217/1073 in the AC→D arm had a Karnofsky performance status ≤90 (either 80 or 90). No disease-free survival benefit was noticed in this subgroup of patients (hazard ratio = 1.16, 95% CI [0.73, 1.83] for DCarbH vs AC→D; hazard ratio 0.97, 95% CI [0.60, 1.55] for AC→DH vs AC→D).</w:t>
      </w:r>
    </w:p>
    <w:p w14:paraId="7C5EE7EC" w14:textId="77777777" w:rsidR="00AF2C5E" w:rsidRDefault="00AF2C5E">
      <w:pPr>
        <w:pStyle w:val="Heading3"/>
        <w:rPr>
          <w:iCs/>
        </w:rPr>
      </w:pPr>
      <w:r>
        <w:rPr>
          <w:iCs/>
        </w:rPr>
        <w:t>Neoadjuvant/adjuvant treatment</w:t>
      </w:r>
    </w:p>
    <w:p w14:paraId="5FF43DEC" w14:textId="77777777" w:rsidR="00AF2C5E" w:rsidRDefault="00AF2C5E">
      <w:pPr>
        <w:pStyle w:val="J1"/>
      </w:pPr>
      <w:r>
        <w:t>Study MO16432 (NOAH) investigated the administration of Herceptin together with a total of 10 cycles of neoadjuvant chemotherapy comprising both an anthracycline and a taxane (doxorubicin [A] and paclitaxel [P] plus Herceptin [H], followed by P+H, followed by cyclophosphamide/methotrexate/fluorouracil [CMF] plus H, followed by adjuvant Herceptin to an overall treatment duration of 1 year) in patients with newly diagnosed locally advanced (stage III) or inflammatory HER-2 positive breast cancer.</w:t>
      </w:r>
    </w:p>
    <w:p w14:paraId="37F863DF" w14:textId="77777777" w:rsidR="00AF2C5E" w:rsidRDefault="00AF2C5E">
      <w:pPr>
        <w:pStyle w:val="J1"/>
        <w:spacing w:after="240"/>
      </w:pPr>
      <w:r>
        <w:t>Median duration of follow-up in the Herceptin arm was 3.8 years. Pathological complete response is defined as the absence of invasive tumour in both breast and axillary lymph nodes.</w:t>
      </w:r>
    </w:p>
    <w:tbl>
      <w:tblPr>
        <w:tblW w:w="90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26"/>
        <w:gridCol w:w="1584"/>
        <w:gridCol w:w="1584"/>
        <w:gridCol w:w="2161"/>
      </w:tblGrid>
      <w:tr w:rsidR="00AF2C5E" w:rsidRPr="00AF2C5E" w14:paraId="7DB6D0F9" w14:textId="77777777">
        <w:trPr>
          <w:cantSplit/>
        </w:trPr>
        <w:tc>
          <w:tcPr>
            <w:tcW w:w="3726" w:type="dxa"/>
          </w:tcPr>
          <w:p w14:paraId="4F1C3362" w14:textId="77777777" w:rsidR="00AF2C5E" w:rsidRPr="00AF2C5E" w:rsidRDefault="00AF2C5E">
            <w:pPr>
              <w:pStyle w:val="T1"/>
              <w:keepNext/>
              <w:rPr>
                <w:rFonts w:cs="Arial"/>
                <w:szCs w:val="24"/>
              </w:rPr>
            </w:pPr>
            <w:r w:rsidRPr="00AF2C5E">
              <w:rPr>
                <w:rFonts w:cs="Arial"/>
                <w:szCs w:val="24"/>
              </w:rPr>
              <w:t>Parameter</w:t>
            </w:r>
          </w:p>
        </w:tc>
        <w:tc>
          <w:tcPr>
            <w:tcW w:w="1584" w:type="dxa"/>
          </w:tcPr>
          <w:p w14:paraId="07EC1A7C" w14:textId="77777777" w:rsidR="00AF2C5E" w:rsidRPr="00AF2C5E" w:rsidRDefault="00AF2C5E">
            <w:pPr>
              <w:pStyle w:val="T1"/>
              <w:keepNext/>
              <w:jc w:val="center"/>
              <w:rPr>
                <w:rFonts w:cs="Arial"/>
                <w:szCs w:val="24"/>
              </w:rPr>
            </w:pPr>
            <w:r w:rsidRPr="00AF2C5E">
              <w:rPr>
                <w:rFonts w:cs="Arial"/>
                <w:szCs w:val="24"/>
              </w:rPr>
              <w:t>Chemotherapy + Herceptin</w:t>
            </w:r>
            <w:r w:rsidRPr="00AF2C5E">
              <w:rPr>
                <w:rFonts w:cs="Arial"/>
                <w:szCs w:val="24"/>
              </w:rPr>
              <w:br/>
              <w:t>(n=115)</w:t>
            </w:r>
          </w:p>
        </w:tc>
        <w:tc>
          <w:tcPr>
            <w:tcW w:w="1584" w:type="dxa"/>
          </w:tcPr>
          <w:p w14:paraId="07C0BF66" w14:textId="77777777" w:rsidR="00AF2C5E" w:rsidRPr="00AF2C5E" w:rsidRDefault="00AF2C5E">
            <w:pPr>
              <w:pStyle w:val="T1"/>
              <w:keepNext/>
              <w:jc w:val="center"/>
              <w:rPr>
                <w:rFonts w:cs="Arial"/>
                <w:szCs w:val="24"/>
              </w:rPr>
            </w:pPr>
            <w:r w:rsidRPr="00AF2C5E">
              <w:rPr>
                <w:rFonts w:cs="Arial"/>
                <w:szCs w:val="24"/>
              </w:rPr>
              <w:t>Chemotherapy alone</w:t>
            </w:r>
            <w:r w:rsidRPr="00AF2C5E">
              <w:rPr>
                <w:rFonts w:cs="Arial"/>
                <w:szCs w:val="24"/>
              </w:rPr>
              <w:br/>
              <w:t>(n=116)</w:t>
            </w:r>
          </w:p>
        </w:tc>
        <w:tc>
          <w:tcPr>
            <w:tcW w:w="2161" w:type="dxa"/>
          </w:tcPr>
          <w:p w14:paraId="087B4FF3" w14:textId="77777777" w:rsidR="00AF2C5E" w:rsidRPr="00AF2C5E" w:rsidRDefault="00AF2C5E">
            <w:pPr>
              <w:pStyle w:val="T1"/>
              <w:keepNext/>
              <w:jc w:val="center"/>
              <w:rPr>
                <w:rFonts w:cs="Arial"/>
                <w:szCs w:val="24"/>
              </w:rPr>
            </w:pPr>
          </w:p>
        </w:tc>
      </w:tr>
      <w:tr w:rsidR="00AF2C5E" w:rsidRPr="00AF2C5E" w14:paraId="41960C9A" w14:textId="77777777">
        <w:trPr>
          <w:cantSplit/>
        </w:trPr>
        <w:tc>
          <w:tcPr>
            <w:tcW w:w="3726" w:type="dxa"/>
            <w:tcBorders>
              <w:bottom w:val="nil"/>
            </w:tcBorders>
          </w:tcPr>
          <w:p w14:paraId="697BED65" w14:textId="77777777" w:rsidR="00AF2C5E" w:rsidRPr="00AF2C5E" w:rsidRDefault="00AF2C5E">
            <w:pPr>
              <w:pStyle w:val="T1a"/>
              <w:keepNext/>
              <w:rPr>
                <w:szCs w:val="24"/>
                <w:lang w:bidi="he-IL"/>
              </w:rPr>
            </w:pPr>
            <w:r w:rsidRPr="00AF2C5E">
              <w:rPr>
                <w:noProof/>
                <w:szCs w:val="24"/>
                <w:lang w:bidi="he-IL"/>
              </w:rPr>
              <w:t>Event-free survival</w:t>
            </w:r>
          </w:p>
        </w:tc>
        <w:tc>
          <w:tcPr>
            <w:tcW w:w="1584" w:type="dxa"/>
            <w:tcBorders>
              <w:bottom w:val="nil"/>
            </w:tcBorders>
          </w:tcPr>
          <w:p w14:paraId="524F2F28" w14:textId="77777777" w:rsidR="00AF2C5E" w:rsidRPr="00AF2C5E" w:rsidRDefault="00AF2C5E">
            <w:pPr>
              <w:pStyle w:val="T1a"/>
              <w:keepNext/>
              <w:jc w:val="center"/>
              <w:rPr>
                <w:szCs w:val="24"/>
                <w:lang w:bidi="he-IL"/>
              </w:rPr>
            </w:pPr>
          </w:p>
        </w:tc>
        <w:tc>
          <w:tcPr>
            <w:tcW w:w="1584" w:type="dxa"/>
            <w:tcBorders>
              <w:bottom w:val="nil"/>
            </w:tcBorders>
          </w:tcPr>
          <w:p w14:paraId="42D0E7D9" w14:textId="77777777" w:rsidR="00AF2C5E" w:rsidRPr="00AF2C5E" w:rsidRDefault="00AF2C5E">
            <w:pPr>
              <w:pStyle w:val="T1a"/>
              <w:keepNext/>
              <w:jc w:val="center"/>
              <w:rPr>
                <w:szCs w:val="24"/>
                <w:lang w:bidi="he-IL"/>
              </w:rPr>
            </w:pPr>
          </w:p>
        </w:tc>
        <w:tc>
          <w:tcPr>
            <w:tcW w:w="2161" w:type="dxa"/>
            <w:tcBorders>
              <w:bottom w:val="nil"/>
            </w:tcBorders>
          </w:tcPr>
          <w:p w14:paraId="635B5343" w14:textId="77777777" w:rsidR="00AF2C5E" w:rsidRPr="00AF2C5E" w:rsidRDefault="00AF2C5E">
            <w:pPr>
              <w:pStyle w:val="T1a"/>
              <w:keepNext/>
              <w:jc w:val="center"/>
              <w:rPr>
                <w:szCs w:val="24"/>
                <w:lang w:bidi="he-IL"/>
              </w:rPr>
            </w:pPr>
            <w:r w:rsidRPr="00AF2C5E">
              <w:rPr>
                <w:noProof/>
                <w:szCs w:val="24"/>
                <w:lang w:bidi="he-IL"/>
              </w:rPr>
              <w:t>Hazard ratio (95% CI)</w:t>
            </w:r>
          </w:p>
        </w:tc>
      </w:tr>
      <w:tr w:rsidR="00AF2C5E" w:rsidRPr="00AF2C5E" w14:paraId="6C550DF6" w14:textId="77777777">
        <w:trPr>
          <w:cantSplit/>
        </w:trPr>
        <w:tc>
          <w:tcPr>
            <w:tcW w:w="3726" w:type="dxa"/>
            <w:tcBorders>
              <w:top w:val="nil"/>
            </w:tcBorders>
          </w:tcPr>
          <w:p w14:paraId="346E52ED" w14:textId="77777777" w:rsidR="00AF2C5E" w:rsidRPr="00AF2C5E" w:rsidRDefault="00AF2C5E">
            <w:pPr>
              <w:pStyle w:val="T1b"/>
              <w:keepNext/>
              <w:rPr>
                <w:szCs w:val="24"/>
                <w:lang w:bidi="he-IL"/>
              </w:rPr>
            </w:pPr>
            <w:r w:rsidRPr="00AF2C5E">
              <w:rPr>
                <w:noProof/>
                <w:szCs w:val="24"/>
                <w:lang w:bidi="he-IL"/>
              </w:rPr>
              <w:t>Number of patients with event</w:t>
            </w:r>
          </w:p>
        </w:tc>
        <w:tc>
          <w:tcPr>
            <w:tcW w:w="1584" w:type="dxa"/>
            <w:tcBorders>
              <w:top w:val="nil"/>
            </w:tcBorders>
          </w:tcPr>
          <w:p w14:paraId="077025EB" w14:textId="77777777" w:rsidR="00AF2C5E" w:rsidRPr="00AF2C5E" w:rsidRDefault="00AF2C5E">
            <w:pPr>
              <w:pStyle w:val="T1b"/>
              <w:keepNext/>
              <w:jc w:val="center"/>
              <w:rPr>
                <w:szCs w:val="24"/>
                <w:lang w:bidi="he-IL"/>
              </w:rPr>
            </w:pPr>
            <w:r w:rsidRPr="00AF2C5E">
              <w:rPr>
                <w:szCs w:val="24"/>
                <w:lang w:bidi="he-IL"/>
              </w:rPr>
              <w:t>46</w:t>
            </w:r>
          </w:p>
        </w:tc>
        <w:tc>
          <w:tcPr>
            <w:tcW w:w="1584" w:type="dxa"/>
            <w:tcBorders>
              <w:top w:val="nil"/>
            </w:tcBorders>
          </w:tcPr>
          <w:p w14:paraId="746B5759" w14:textId="77777777" w:rsidR="00AF2C5E" w:rsidRPr="00AF2C5E" w:rsidRDefault="00AF2C5E">
            <w:pPr>
              <w:pStyle w:val="T1b"/>
              <w:keepNext/>
              <w:jc w:val="center"/>
              <w:rPr>
                <w:szCs w:val="24"/>
                <w:lang w:bidi="he-IL"/>
              </w:rPr>
            </w:pPr>
            <w:r w:rsidRPr="00AF2C5E">
              <w:rPr>
                <w:szCs w:val="24"/>
                <w:lang w:bidi="he-IL"/>
              </w:rPr>
              <w:t>59</w:t>
            </w:r>
          </w:p>
        </w:tc>
        <w:tc>
          <w:tcPr>
            <w:tcW w:w="2161" w:type="dxa"/>
            <w:tcBorders>
              <w:top w:val="nil"/>
            </w:tcBorders>
          </w:tcPr>
          <w:p w14:paraId="5502ED43" w14:textId="77777777" w:rsidR="00AF2C5E" w:rsidRPr="00AF2C5E" w:rsidRDefault="00AF2C5E">
            <w:pPr>
              <w:pStyle w:val="T1b"/>
              <w:keepNext/>
              <w:jc w:val="center"/>
              <w:rPr>
                <w:szCs w:val="24"/>
                <w:lang w:bidi="he-IL"/>
              </w:rPr>
            </w:pPr>
            <w:r w:rsidRPr="00AF2C5E">
              <w:rPr>
                <w:noProof/>
                <w:szCs w:val="24"/>
                <w:lang w:bidi="he-IL"/>
              </w:rPr>
              <w:t>0.65 (0.44, 0.96)</w:t>
            </w:r>
            <w:r w:rsidRPr="00AF2C5E">
              <w:rPr>
                <w:noProof/>
                <w:szCs w:val="24"/>
                <w:lang w:bidi="he-IL"/>
              </w:rPr>
              <w:br/>
              <w:t>p=0.0275</w:t>
            </w:r>
          </w:p>
        </w:tc>
      </w:tr>
      <w:tr w:rsidR="00AF2C5E" w:rsidRPr="00AF2C5E" w14:paraId="35550BC8" w14:textId="77777777">
        <w:trPr>
          <w:cantSplit/>
        </w:trPr>
        <w:tc>
          <w:tcPr>
            <w:tcW w:w="3726" w:type="dxa"/>
          </w:tcPr>
          <w:p w14:paraId="1605826B" w14:textId="77777777" w:rsidR="00AF2C5E" w:rsidRPr="00AF2C5E" w:rsidRDefault="00AF2C5E">
            <w:pPr>
              <w:pStyle w:val="T2"/>
              <w:keepNext/>
              <w:rPr>
                <w:szCs w:val="24"/>
                <w:lang w:bidi="he-IL"/>
              </w:rPr>
            </w:pPr>
          </w:p>
        </w:tc>
        <w:tc>
          <w:tcPr>
            <w:tcW w:w="1584" w:type="dxa"/>
          </w:tcPr>
          <w:p w14:paraId="6C68F3A6" w14:textId="77777777" w:rsidR="00AF2C5E" w:rsidRPr="00AF2C5E" w:rsidRDefault="00AF2C5E">
            <w:pPr>
              <w:pStyle w:val="T2"/>
              <w:keepNext/>
              <w:jc w:val="center"/>
              <w:rPr>
                <w:szCs w:val="24"/>
                <w:lang w:bidi="he-IL"/>
              </w:rPr>
            </w:pPr>
          </w:p>
        </w:tc>
        <w:tc>
          <w:tcPr>
            <w:tcW w:w="1584" w:type="dxa"/>
          </w:tcPr>
          <w:p w14:paraId="11580AAA" w14:textId="77777777" w:rsidR="00AF2C5E" w:rsidRPr="00AF2C5E" w:rsidRDefault="00AF2C5E">
            <w:pPr>
              <w:pStyle w:val="T2"/>
              <w:keepNext/>
              <w:jc w:val="center"/>
              <w:rPr>
                <w:szCs w:val="24"/>
                <w:lang w:bidi="he-IL"/>
              </w:rPr>
            </w:pPr>
          </w:p>
        </w:tc>
        <w:tc>
          <w:tcPr>
            <w:tcW w:w="2161" w:type="dxa"/>
          </w:tcPr>
          <w:p w14:paraId="799DC9D6" w14:textId="77777777" w:rsidR="00AF2C5E" w:rsidRPr="00AF2C5E" w:rsidRDefault="00AF2C5E">
            <w:pPr>
              <w:pStyle w:val="T2"/>
              <w:keepNext/>
              <w:jc w:val="center"/>
              <w:rPr>
                <w:szCs w:val="24"/>
                <w:lang w:bidi="he-IL"/>
              </w:rPr>
            </w:pPr>
          </w:p>
        </w:tc>
      </w:tr>
      <w:tr w:rsidR="00AF2C5E" w:rsidRPr="00AF2C5E" w14:paraId="2E34A8B9" w14:textId="77777777">
        <w:trPr>
          <w:cantSplit/>
        </w:trPr>
        <w:tc>
          <w:tcPr>
            <w:tcW w:w="3726" w:type="dxa"/>
          </w:tcPr>
          <w:p w14:paraId="1AB1C702" w14:textId="77777777" w:rsidR="00AF2C5E" w:rsidRPr="00AF2C5E" w:rsidRDefault="00AF2C5E">
            <w:pPr>
              <w:pStyle w:val="T1"/>
              <w:rPr>
                <w:rFonts w:cs="Arial"/>
                <w:szCs w:val="24"/>
              </w:rPr>
            </w:pPr>
            <w:r w:rsidRPr="00AF2C5E">
              <w:rPr>
                <w:rFonts w:cs="Arial"/>
                <w:szCs w:val="24"/>
              </w:rPr>
              <w:t>Total pathological complete response</w:t>
            </w:r>
            <w:r w:rsidRPr="00AF2C5E">
              <w:rPr>
                <w:rFonts w:cs="Arial"/>
                <w:szCs w:val="24"/>
              </w:rPr>
              <w:br/>
              <w:t>(95% CI)</w:t>
            </w:r>
          </w:p>
        </w:tc>
        <w:tc>
          <w:tcPr>
            <w:tcW w:w="1584" w:type="dxa"/>
          </w:tcPr>
          <w:p w14:paraId="312C58EA" w14:textId="77777777" w:rsidR="00AF2C5E" w:rsidRPr="00AF2C5E" w:rsidRDefault="00AF2C5E">
            <w:pPr>
              <w:pStyle w:val="T1"/>
              <w:jc w:val="center"/>
              <w:rPr>
                <w:rFonts w:cs="Arial"/>
                <w:szCs w:val="24"/>
              </w:rPr>
            </w:pPr>
            <w:r w:rsidRPr="00AF2C5E">
              <w:rPr>
                <w:rFonts w:cs="Arial"/>
                <w:szCs w:val="24"/>
              </w:rPr>
              <w:t>40%</w:t>
            </w:r>
            <w:r w:rsidRPr="00AF2C5E">
              <w:rPr>
                <w:rFonts w:cs="Arial"/>
                <w:szCs w:val="24"/>
              </w:rPr>
              <w:br/>
              <w:t>(31.0, 49.6)</w:t>
            </w:r>
          </w:p>
        </w:tc>
        <w:tc>
          <w:tcPr>
            <w:tcW w:w="1584" w:type="dxa"/>
          </w:tcPr>
          <w:p w14:paraId="0D5BE3E6" w14:textId="77777777" w:rsidR="00AF2C5E" w:rsidRPr="00AF2C5E" w:rsidRDefault="00AF2C5E">
            <w:pPr>
              <w:pStyle w:val="T1"/>
              <w:jc w:val="center"/>
              <w:rPr>
                <w:rFonts w:cs="Arial"/>
                <w:szCs w:val="24"/>
              </w:rPr>
            </w:pPr>
            <w:r w:rsidRPr="00AF2C5E">
              <w:rPr>
                <w:rFonts w:cs="Arial"/>
                <w:szCs w:val="24"/>
              </w:rPr>
              <w:t>20.7%</w:t>
            </w:r>
            <w:r w:rsidRPr="00AF2C5E">
              <w:rPr>
                <w:rFonts w:cs="Arial"/>
                <w:szCs w:val="24"/>
              </w:rPr>
              <w:br/>
              <w:t>(13.7, 29.2)</w:t>
            </w:r>
          </w:p>
        </w:tc>
        <w:tc>
          <w:tcPr>
            <w:tcW w:w="2161" w:type="dxa"/>
          </w:tcPr>
          <w:p w14:paraId="1942AEB2" w14:textId="77777777" w:rsidR="00AF2C5E" w:rsidRPr="00AF2C5E" w:rsidRDefault="00AF2C5E">
            <w:pPr>
              <w:pStyle w:val="T1"/>
              <w:jc w:val="center"/>
              <w:rPr>
                <w:rFonts w:cs="Arial"/>
                <w:szCs w:val="24"/>
              </w:rPr>
            </w:pPr>
            <w:r w:rsidRPr="00AF2C5E">
              <w:rPr>
                <w:rFonts w:cs="Arial"/>
                <w:szCs w:val="24"/>
              </w:rPr>
              <w:t>p=0.0014</w:t>
            </w:r>
          </w:p>
        </w:tc>
      </w:tr>
    </w:tbl>
    <w:p w14:paraId="353994AE" w14:textId="77777777" w:rsidR="00AF2C5E" w:rsidRDefault="00AF2C5E">
      <w:pPr>
        <w:pStyle w:val="J2"/>
      </w:pPr>
      <w:r>
        <w:t xml:space="preserve">With respect to the primary endpoint, event-free survival, the addition of Herceptin to neoadjuvant chemotherapy, followed by adjuvant Herceptin for a total duration of 52 weeks, resulted in a 35% reduction in the risk of disease recurrence/progression (hazard ratio: 0.65 [95% CI: 0.44, 0.96]; </w:t>
      </w:r>
      <w:r>
        <w:lastRenderedPageBreak/>
        <w:t>p&lt;0.0275). After 3 years, 65% of patients in the Herceptin arm and 52% in the control arm were event-free. This translates into a 13% improvement in favour of the Herceptin arm.</w:t>
      </w:r>
    </w:p>
    <w:p w14:paraId="7D099805" w14:textId="77777777" w:rsidR="00AF2C5E" w:rsidRDefault="00AF2C5E">
      <w:pPr>
        <w:pStyle w:val="Heading3"/>
        <w:rPr>
          <w:iCs/>
        </w:rPr>
      </w:pPr>
      <w:r>
        <w:rPr>
          <w:iCs/>
        </w:rPr>
        <w:t>CNS metastases</w:t>
      </w:r>
    </w:p>
    <w:p w14:paraId="7419FC96" w14:textId="77777777" w:rsidR="00AF2C5E" w:rsidRDefault="00AF2C5E">
      <w:pPr>
        <w:pStyle w:val="J1"/>
      </w:pPr>
      <w:r>
        <w:t>The HERA trial showed a 0.3% difference in the CNS as the site of first metastatic relapse (1.2% of Herceptin patients vs 0.9% of control patients). Overall, however, the incidence of CNS metastases (first and subsequent relapse) was similar in the two treatment groups (23 patients in the observation group vs 25 in the Herceptin group), indicating the probability of an approximately equal incidence of CNS micrometastases in the two treatment groups at the end of adjuvant chemotherapy.</w:t>
      </w:r>
    </w:p>
    <w:p w14:paraId="23FC019A" w14:textId="77777777" w:rsidR="00AF2C5E" w:rsidRDefault="00AF2C5E">
      <w:pPr>
        <w:pStyle w:val="J1"/>
      </w:pPr>
      <w:r>
        <w:t>According to the joint analysis of studies NCCTG N9831 and NSAPB B-31, isolated brain metastases occurred more often as first events in the Herceptin group than in the control group (12 vs 4 in study N9831 and 21 vs 11 in study B-31). After occurrence of the first distant metastases, the patients of study B</w:t>
      </w:r>
      <w:r>
        <w:noBreakHyphen/>
        <w:t>31 were followed for further relapses. In total, brain metastases were diagnosed in this study as a first or subsequent event in 28 Herceptin patients and 35 control patients (hazard ratio 0.79, p=0.35).</w:t>
      </w:r>
    </w:p>
    <w:p w14:paraId="15D63535" w14:textId="77777777" w:rsidR="00AF2C5E" w:rsidRDefault="00AF2C5E">
      <w:pPr>
        <w:pStyle w:val="J1"/>
      </w:pPr>
      <w:r>
        <w:t>The incidence of brain metastases in the Herceptin group was thus no higher than in the control group. The differing frequency of brain metastases as first event in the control patients is probably attributable to an earlier relapse in another organ system.</w:t>
      </w:r>
    </w:p>
    <w:p w14:paraId="55C3F7F0" w14:textId="77777777" w:rsidR="00AF2C5E" w:rsidRDefault="00AF2C5E">
      <w:pPr>
        <w:pStyle w:val="J1"/>
      </w:pPr>
    </w:p>
    <w:p w14:paraId="5A0B892E" w14:textId="77777777" w:rsidR="00AF2C5E" w:rsidRDefault="00AF2C5E">
      <w:pPr>
        <w:rPr>
          <w:rFonts w:ascii="Times New Roman" w:hAnsi="Times New Roman" w:cs="Arial"/>
          <w:i/>
          <w:szCs w:val="24"/>
          <w:lang w:bidi="he-IL"/>
        </w:rPr>
      </w:pPr>
      <w:r>
        <w:rPr>
          <w:rFonts w:ascii="Times New Roman" w:hAnsi="Times New Roman" w:cs="Arial"/>
          <w:i/>
          <w:noProof/>
          <w:szCs w:val="24"/>
          <w:lang w:bidi="he-IL"/>
        </w:rPr>
        <w:t xml:space="preserve">Metastatic adenocarcinoma of the stomach or </w:t>
      </w:r>
      <w:r>
        <w:rPr>
          <w:rFonts w:ascii="Times New Roman" w:hAnsi="Times New Roman"/>
          <w:i/>
        </w:rPr>
        <w:t xml:space="preserve">gastro-oesophageal </w:t>
      </w:r>
      <w:r>
        <w:rPr>
          <w:rFonts w:ascii="Times New Roman" w:hAnsi="Times New Roman" w:cs="Arial"/>
          <w:i/>
          <w:noProof/>
          <w:szCs w:val="24"/>
          <w:lang w:bidi="he-IL"/>
        </w:rPr>
        <w:t>junction:</w:t>
      </w:r>
    </w:p>
    <w:p w14:paraId="079A7F22" w14:textId="77777777" w:rsidR="00AF2C5E" w:rsidRDefault="00AF2C5E">
      <w:pPr>
        <w:rPr>
          <w:rFonts w:ascii="Times New Roman" w:hAnsi="Times New Roman"/>
          <w:i/>
        </w:rPr>
      </w:pPr>
    </w:p>
    <w:p w14:paraId="4D0BF186" w14:textId="77777777" w:rsidR="00AF2C5E" w:rsidRDefault="00AF2C5E">
      <w:pPr>
        <w:rPr>
          <w:rFonts w:ascii="Times New Roman" w:hAnsi="Times New Roman"/>
        </w:rPr>
      </w:pPr>
      <w:r>
        <w:rPr>
          <w:rFonts w:ascii="Times New Roman" w:hAnsi="Times New Roman" w:cs="Arial"/>
          <w:noProof/>
          <w:szCs w:val="24"/>
          <w:lang w:bidi="he-IL"/>
        </w:rPr>
        <w:t>The efficacy results from study BO18255 are summarised in the following table.</w:t>
      </w:r>
      <w:r>
        <w:rPr>
          <w:rFonts w:ascii="Times New Roman" w:hAnsi="Times New Roman" w:cs="Arial"/>
          <w:szCs w:val="24"/>
          <w:lang w:bidi="he-IL"/>
        </w:rPr>
        <w:t xml:space="preserve"> </w:t>
      </w:r>
      <w:r>
        <w:rPr>
          <w:rFonts w:ascii="Times New Roman" w:hAnsi="Times New Roman" w:cs="Arial"/>
          <w:noProof/>
          <w:szCs w:val="24"/>
          <w:lang w:bidi="he-IL"/>
        </w:rPr>
        <w:t>Patients taking part in the study had not previously been treated for metastatic gastric or gastro-oesophageal junction adenocarcinoma.</w:t>
      </w:r>
      <w:r>
        <w:rPr>
          <w:rFonts w:ascii="Times New Roman" w:hAnsi="Times New Roman" w:cs="Arial"/>
          <w:szCs w:val="24"/>
          <w:lang w:bidi="he-IL"/>
        </w:rPr>
        <w:t xml:space="preserve"> </w:t>
      </w:r>
      <w:r>
        <w:rPr>
          <w:rFonts w:ascii="Times New Roman" w:hAnsi="Times New Roman" w:cs="Arial"/>
          <w:noProof/>
          <w:szCs w:val="24"/>
          <w:lang w:bidi="he-IL"/>
        </w:rPr>
        <w:t>The primary endpoint was overall survival.</w:t>
      </w:r>
      <w:r>
        <w:rPr>
          <w:rFonts w:ascii="Times New Roman" w:hAnsi="Times New Roman" w:cs="Arial"/>
          <w:szCs w:val="24"/>
          <w:lang w:bidi="he-IL"/>
        </w:rPr>
        <w:t xml:space="preserve"> </w:t>
      </w:r>
      <w:r>
        <w:rPr>
          <w:rFonts w:ascii="Times New Roman" w:hAnsi="Times New Roman" w:cs="Arial"/>
          <w:noProof/>
          <w:szCs w:val="24"/>
          <w:lang w:bidi="he-IL"/>
        </w:rPr>
        <w:t>At the time of analysis a total of 349 of the randomised patients had died:</w:t>
      </w:r>
      <w:r>
        <w:rPr>
          <w:rFonts w:ascii="Times New Roman" w:hAnsi="Times New Roman" w:cs="Arial"/>
          <w:szCs w:val="24"/>
          <w:lang w:bidi="he-IL"/>
        </w:rPr>
        <w:t xml:space="preserve"> </w:t>
      </w:r>
      <w:r>
        <w:rPr>
          <w:rFonts w:ascii="Times New Roman" w:hAnsi="Times New Roman" w:cs="Arial"/>
          <w:noProof/>
          <w:szCs w:val="24"/>
          <w:lang w:bidi="he-IL"/>
        </w:rPr>
        <w:t>182 patients (62.8%) in the control arm and 167 patients (56.8%) in the treatment arm.</w:t>
      </w:r>
      <w:r>
        <w:rPr>
          <w:rFonts w:ascii="Times New Roman" w:hAnsi="Times New Roman" w:cs="Arial"/>
          <w:szCs w:val="24"/>
          <w:lang w:bidi="he-IL"/>
        </w:rPr>
        <w:t xml:space="preserve"> </w:t>
      </w:r>
      <w:r>
        <w:rPr>
          <w:rFonts w:ascii="Times New Roman" w:hAnsi="Times New Roman" w:cs="Arial"/>
          <w:noProof/>
          <w:szCs w:val="24"/>
          <w:lang w:bidi="he-IL"/>
        </w:rPr>
        <w:t>The majority of the deaths were due to events related to the underlying cancer.</w:t>
      </w:r>
    </w:p>
    <w:p w14:paraId="5E3D8808" w14:textId="77777777" w:rsidR="00AF2C5E" w:rsidRDefault="00AF2C5E">
      <w:pPr>
        <w:pStyle w:val="J1"/>
      </w:pPr>
      <w:r>
        <w:t>In the Herceptin + capecitabine/5-FU and cisplatin arm, overall survival was significantly better than in the capecitabine/5-FU and cisplatin arm (p=0.0046, log-rank test). Mean survival was 11.1 months if treated with capecitabine/5-FU and cisplatin, and 13.8 months on Herceptin + capecitabine/5-FU and cisplatin. The risk of death for patients in the Herceptin arm was 26% lower than for patients in the capecitabine/5-FU arm (hazard ratio [HR] 0.74 95% CI [0.60, 0.91]).</w:t>
      </w:r>
    </w:p>
    <w:p w14:paraId="79987963" w14:textId="77777777" w:rsidR="00AF2C5E" w:rsidRDefault="00AF2C5E">
      <w:pPr>
        <w:pStyle w:val="J1"/>
      </w:pPr>
      <w:r>
        <w:rPr>
          <w:i/>
        </w:rPr>
        <w:t>Post hoc</w:t>
      </w:r>
      <w:r>
        <w:t xml:space="preserve"> subgroup analyses showed that treatment was more effective in tumours with higher concentrations of HER2 protein (IHC 2+/FISH+ and IHC 3+/irrespective of FISH status). Mean overall survival in the high HER2 expressing group was 11.8 months versus 16 months (HR 0.65 [95% CI 0.51, 0.83]) and mean progression-free survival was 5.5 months versus 7.6 months (HR 0.64 [95% CI 0.51, 0.79]) for capecitabine/5-FU and cisplatin and for Herceptin + capecitabine/5-FU and cisplatin, respectively.</w:t>
      </w:r>
    </w:p>
    <w:p w14:paraId="6975CD0A" w14:textId="77777777" w:rsidR="00AF2C5E" w:rsidRDefault="00AF2C5E">
      <w:pPr>
        <w:pStyle w:val="THead2"/>
      </w:pPr>
      <w:r>
        <w:lastRenderedPageBreak/>
        <w:t>Summary of efficacy data (study BO18255):</w:t>
      </w:r>
    </w:p>
    <w:tbl>
      <w:tblPr>
        <w:tblW w:w="876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43"/>
        <w:gridCol w:w="1008"/>
        <w:gridCol w:w="1008"/>
        <w:gridCol w:w="1656"/>
        <w:gridCol w:w="1152"/>
      </w:tblGrid>
      <w:tr w:rsidR="00AF2C5E" w:rsidRPr="00AF2C5E" w14:paraId="03C4934F" w14:textId="77777777">
        <w:trPr>
          <w:cantSplit/>
        </w:trPr>
        <w:tc>
          <w:tcPr>
            <w:tcW w:w="3943" w:type="dxa"/>
          </w:tcPr>
          <w:p w14:paraId="6747DF0F" w14:textId="77777777" w:rsidR="00AF2C5E" w:rsidRPr="00AF2C5E" w:rsidRDefault="00AF2C5E">
            <w:pPr>
              <w:pStyle w:val="T1"/>
              <w:keepNext/>
              <w:rPr>
                <w:rFonts w:cs="Arial"/>
                <w:b/>
                <w:szCs w:val="24"/>
              </w:rPr>
            </w:pPr>
            <w:r w:rsidRPr="00AF2C5E">
              <w:rPr>
                <w:rFonts w:cs="Arial"/>
                <w:b/>
                <w:szCs w:val="24"/>
              </w:rPr>
              <w:t>Population/Parameter</w:t>
            </w:r>
          </w:p>
        </w:tc>
        <w:tc>
          <w:tcPr>
            <w:tcW w:w="1008" w:type="dxa"/>
          </w:tcPr>
          <w:p w14:paraId="4B4527E7" w14:textId="77777777" w:rsidR="00AF2C5E" w:rsidRPr="00AF2C5E" w:rsidRDefault="00AF2C5E">
            <w:pPr>
              <w:pStyle w:val="T1"/>
              <w:keepNext/>
              <w:jc w:val="center"/>
              <w:rPr>
                <w:rFonts w:cs="Arial"/>
                <w:b/>
                <w:szCs w:val="24"/>
              </w:rPr>
            </w:pPr>
            <w:r w:rsidRPr="00AF2C5E">
              <w:rPr>
                <w:rFonts w:cs="Arial"/>
                <w:b/>
                <w:szCs w:val="24"/>
              </w:rPr>
              <w:t>FP</w:t>
            </w:r>
            <w:r w:rsidRPr="00AF2C5E">
              <w:rPr>
                <w:rFonts w:cs="Arial"/>
                <w:b/>
                <w:szCs w:val="24"/>
              </w:rPr>
              <w:br/>
              <w:t>n=290</w:t>
            </w:r>
          </w:p>
        </w:tc>
        <w:tc>
          <w:tcPr>
            <w:tcW w:w="1008" w:type="dxa"/>
          </w:tcPr>
          <w:p w14:paraId="3718A083" w14:textId="77777777" w:rsidR="00AF2C5E" w:rsidRPr="00AF2C5E" w:rsidRDefault="00AF2C5E">
            <w:pPr>
              <w:pStyle w:val="T1"/>
              <w:keepNext/>
              <w:jc w:val="center"/>
              <w:rPr>
                <w:rFonts w:cs="Arial"/>
                <w:b/>
                <w:szCs w:val="24"/>
              </w:rPr>
            </w:pPr>
            <w:r w:rsidRPr="00AF2C5E">
              <w:rPr>
                <w:rFonts w:cs="Arial"/>
                <w:b/>
                <w:szCs w:val="24"/>
              </w:rPr>
              <w:t>H+FP</w:t>
            </w:r>
            <w:r w:rsidRPr="00AF2C5E">
              <w:rPr>
                <w:rFonts w:cs="Arial"/>
                <w:b/>
                <w:szCs w:val="24"/>
              </w:rPr>
              <w:br/>
              <w:t>n=294</w:t>
            </w:r>
          </w:p>
        </w:tc>
        <w:tc>
          <w:tcPr>
            <w:tcW w:w="1656" w:type="dxa"/>
          </w:tcPr>
          <w:p w14:paraId="46D28207" w14:textId="77777777" w:rsidR="00AF2C5E" w:rsidRPr="00AF2C5E" w:rsidRDefault="00AF2C5E">
            <w:pPr>
              <w:pStyle w:val="T1"/>
              <w:keepNext/>
              <w:jc w:val="center"/>
              <w:rPr>
                <w:rFonts w:cs="Arial"/>
                <w:b/>
                <w:szCs w:val="24"/>
              </w:rPr>
            </w:pPr>
            <w:r w:rsidRPr="00AF2C5E">
              <w:rPr>
                <w:rFonts w:cs="Arial"/>
                <w:b/>
                <w:szCs w:val="24"/>
              </w:rPr>
              <w:t>HR (95% CI)</w:t>
            </w:r>
          </w:p>
        </w:tc>
        <w:tc>
          <w:tcPr>
            <w:tcW w:w="1152" w:type="dxa"/>
          </w:tcPr>
          <w:p w14:paraId="14D3287A" w14:textId="77777777" w:rsidR="00AF2C5E" w:rsidRPr="00AF2C5E" w:rsidRDefault="00AF2C5E">
            <w:pPr>
              <w:pStyle w:val="T1"/>
              <w:keepNext/>
              <w:jc w:val="center"/>
              <w:rPr>
                <w:rFonts w:cs="Arial"/>
                <w:b/>
                <w:szCs w:val="24"/>
              </w:rPr>
            </w:pPr>
            <w:r w:rsidRPr="00AF2C5E">
              <w:rPr>
                <w:rFonts w:cs="Arial"/>
                <w:b/>
                <w:szCs w:val="24"/>
              </w:rPr>
              <w:t>p value</w:t>
            </w:r>
          </w:p>
        </w:tc>
      </w:tr>
      <w:tr w:rsidR="00AF2C5E" w:rsidRPr="00AF2C5E" w14:paraId="43DD0724" w14:textId="77777777">
        <w:trPr>
          <w:cantSplit/>
        </w:trPr>
        <w:tc>
          <w:tcPr>
            <w:tcW w:w="3943" w:type="dxa"/>
          </w:tcPr>
          <w:p w14:paraId="27540003" w14:textId="77777777" w:rsidR="00AF2C5E" w:rsidRPr="00AF2C5E" w:rsidRDefault="00AF2C5E">
            <w:pPr>
              <w:pStyle w:val="T1"/>
              <w:keepNext/>
              <w:rPr>
                <w:rFonts w:cs="Arial"/>
                <w:b/>
                <w:szCs w:val="24"/>
              </w:rPr>
            </w:pPr>
            <w:r w:rsidRPr="00AF2C5E">
              <w:rPr>
                <w:rFonts w:cs="Arial"/>
                <w:b/>
                <w:szCs w:val="24"/>
              </w:rPr>
              <w:t>Overall population:</w:t>
            </w:r>
          </w:p>
        </w:tc>
        <w:tc>
          <w:tcPr>
            <w:tcW w:w="1008" w:type="dxa"/>
            <w:tcBorders>
              <w:right w:val="nil"/>
            </w:tcBorders>
          </w:tcPr>
          <w:p w14:paraId="5C914369" w14:textId="77777777" w:rsidR="00AF2C5E" w:rsidRPr="00AF2C5E" w:rsidRDefault="00AF2C5E">
            <w:pPr>
              <w:pStyle w:val="T1"/>
              <w:keepNext/>
              <w:jc w:val="center"/>
              <w:rPr>
                <w:rFonts w:cs="Arial"/>
                <w:b/>
                <w:szCs w:val="24"/>
              </w:rPr>
            </w:pPr>
          </w:p>
        </w:tc>
        <w:tc>
          <w:tcPr>
            <w:tcW w:w="1008" w:type="dxa"/>
            <w:tcBorders>
              <w:left w:val="nil"/>
              <w:right w:val="nil"/>
            </w:tcBorders>
          </w:tcPr>
          <w:p w14:paraId="4BD4088F" w14:textId="77777777" w:rsidR="00AF2C5E" w:rsidRPr="00AF2C5E" w:rsidRDefault="00AF2C5E">
            <w:pPr>
              <w:pStyle w:val="T1"/>
              <w:keepNext/>
              <w:jc w:val="center"/>
              <w:rPr>
                <w:rFonts w:cs="Arial"/>
                <w:b/>
                <w:szCs w:val="24"/>
              </w:rPr>
            </w:pPr>
          </w:p>
        </w:tc>
        <w:tc>
          <w:tcPr>
            <w:tcW w:w="1656" w:type="dxa"/>
            <w:tcBorders>
              <w:left w:val="nil"/>
              <w:right w:val="nil"/>
            </w:tcBorders>
          </w:tcPr>
          <w:p w14:paraId="205921A1" w14:textId="77777777" w:rsidR="00AF2C5E" w:rsidRPr="00AF2C5E" w:rsidRDefault="00AF2C5E">
            <w:pPr>
              <w:pStyle w:val="T1"/>
              <w:keepNext/>
              <w:jc w:val="center"/>
              <w:rPr>
                <w:rFonts w:cs="Arial"/>
                <w:b/>
                <w:szCs w:val="24"/>
              </w:rPr>
            </w:pPr>
          </w:p>
        </w:tc>
        <w:tc>
          <w:tcPr>
            <w:tcW w:w="1152" w:type="dxa"/>
            <w:tcBorders>
              <w:left w:val="nil"/>
            </w:tcBorders>
          </w:tcPr>
          <w:p w14:paraId="166BE280" w14:textId="77777777" w:rsidR="00AF2C5E" w:rsidRPr="00AF2C5E" w:rsidRDefault="00AF2C5E">
            <w:pPr>
              <w:pStyle w:val="T1"/>
              <w:keepNext/>
              <w:jc w:val="center"/>
              <w:rPr>
                <w:rFonts w:cs="Arial"/>
                <w:b/>
                <w:szCs w:val="24"/>
              </w:rPr>
            </w:pPr>
          </w:p>
        </w:tc>
      </w:tr>
      <w:tr w:rsidR="00AF2C5E" w:rsidRPr="00AF2C5E" w14:paraId="1D189AAD" w14:textId="77777777">
        <w:trPr>
          <w:cantSplit/>
        </w:trPr>
        <w:tc>
          <w:tcPr>
            <w:tcW w:w="3943" w:type="dxa"/>
          </w:tcPr>
          <w:p w14:paraId="1167C43A" w14:textId="77777777" w:rsidR="00AF2C5E" w:rsidRPr="00AF2C5E" w:rsidRDefault="00AF2C5E">
            <w:pPr>
              <w:pStyle w:val="T1"/>
              <w:keepNext/>
              <w:rPr>
                <w:rFonts w:cs="Arial"/>
                <w:szCs w:val="24"/>
              </w:rPr>
            </w:pPr>
            <w:r w:rsidRPr="00AF2C5E">
              <w:rPr>
                <w:rFonts w:cs="Arial"/>
                <w:szCs w:val="24"/>
              </w:rPr>
              <w:t>Median overall survival (months)</w:t>
            </w:r>
          </w:p>
        </w:tc>
        <w:tc>
          <w:tcPr>
            <w:tcW w:w="1008" w:type="dxa"/>
          </w:tcPr>
          <w:p w14:paraId="54DF97DF" w14:textId="77777777" w:rsidR="00AF2C5E" w:rsidRPr="00AF2C5E" w:rsidRDefault="00AF2C5E">
            <w:pPr>
              <w:pStyle w:val="T1"/>
              <w:keepNext/>
              <w:jc w:val="center"/>
              <w:rPr>
                <w:rFonts w:cs="Arial"/>
                <w:szCs w:val="24"/>
              </w:rPr>
            </w:pPr>
            <w:r w:rsidRPr="00AF2C5E">
              <w:rPr>
                <w:rFonts w:cs="Arial"/>
                <w:szCs w:val="24"/>
              </w:rPr>
              <w:t>11.1</w:t>
            </w:r>
          </w:p>
        </w:tc>
        <w:tc>
          <w:tcPr>
            <w:tcW w:w="1008" w:type="dxa"/>
          </w:tcPr>
          <w:p w14:paraId="20D225B3" w14:textId="77777777" w:rsidR="00AF2C5E" w:rsidRPr="00AF2C5E" w:rsidRDefault="00AF2C5E">
            <w:pPr>
              <w:pStyle w:val="T1"/>
              <w:keepNext/>
              <w:jc w:val="center"/>
              <w:rPr>
                <w:rFonts w:cs="Arial"/>
                <w:szCs w:val="24"/>
              </w:rPr>
            </w:pPr>
            <w:r w:rsidRPr="00AF2C5E">
              <w:rPr>
                <w:rFonts w:cs="Arial"/>
                <w:szCs w:val="24"/>
              </w:rPr>
              <w:t>13.8</w:t>
            </w:r>
          </w:p>
        </w:tc>
        <w:tc>
          <w:tcPr>
            <w:tcW w:w="1656" w:type="dxa"/>
          </w:tcPr>
          <w:p w14:paraId="38FCF5C8" w14:textId="77777777" w:rsidR="00AF2C5E" w:rsidRPr="00AF2C5E" w:rsidRDefault="00AF2C5E">
            <w:pPr>
              <w:pStyle w:val="T1"/>
              <w:keepNext/>
              <w:jc w:val="center"/>
              <w:rPr>
                <w:rFonts w:cs="Arial"/>
                <w:szCs w:val="24"/>
              </w:rPr>
            </w:pPr>
            <w:r w:rsidRPr="00AF2C5E">
              <w:rPr>
                <w:rFonts w:cs="Arial"/>
                <w:szCs w:val="24"/>
              </w:rPr>
              <w:t>0.74 (0.60-0.91)</w:t>
            </w:r>
          </w:p>
        </w:tc>
        <w:tc>
          <w:tcPr>
            <w:tcW w:w="1152" w:type="dxa"/>
          </w:tcPr>
          <w:p w14:paraId="5B6DC482" w14:textId="77777777" w:rsidR="00AF2C5E" w:rsidRPr="00AF2C5E" w:rsidRDefault="00AF2C5E">
            <w:pPr>
              <w:pStyle w:val="T1"/>
              <w:keepNext/>
              <w:jc w:val="center"/>
              <w:rPr>
                <w:rFonts w:cs="Arial"/>
                <w:szCs w:val="24"/>
              </w:rPr>
            </w:pPr>
            <w:r w:rsidRPr="00AF2C5E">
              <w:rPr>
                <w:rFonts w:cs="Arial"/>
                <w:szCs w:val="24"/>
              </w:rPr>
              <w:t>0.0046</w:t>
            </w:r>
          </w:p>
        </w:tc>
      </w:tr>
      <w:tr w:rsidR="00AF2C5E" w:rsidRPr="00AF2C5E" w14:paraId="30779F34" w14:textId="77777777">
        <w:trPr>
          <w:cantSplit/>
        </w:trPr>
        <w:tc>
          <w:tcPr>
            <w:tcW w:w="3943" w:type="dxa"/>
          </w:tcPr>
          <w:p w14:paraId="53F2A475" w14:textId="77777777" w:rsidR="00AF2C5E" w:rsidRPr="00AF2C5E" w:rsidRDefault="00AF2C5E">
            <w:pPr>
              <w:pStyle w:val="T1"/>
              <w:keepNext/>
              <w:rPr>
                <w:rFonts w:cs="Arial"/>
                <w:szCs w:val="24"/>
              </w:rPr>
            </w:pPr>
            <w:r w:rsidRPr="00AF2C5E">
              <w:rPr>
                <w:rFonts w:cs="Arial"/>
                <w:szCs w:val="24"/>
              </w:rPr>
              <w:t>Median progression-free survival (months)</w:t>
            </w:r>
          </w:p>
        </w:tc>
        <w:tc>
          <w:tcPr>
            <w:tcW w:w="1008" w:type="dxa"/>
          </w:tcPr>
          <w:p w14:paraId="1E9BEC88" w14:textId="77777777" w:rsidR="00AF2C5E" w:rsidRPr="00AF2C5E" w:rsidRDefault="00AF2C5E">
            <w:pPr>
              <w:pStyle w:val="T1"/>
              <w:keepNext/>
              <w:jc w:val="center"/>
              <w:rPr>
                <w:rFonts w:cs="Arial"/>
                <w:szCs w:val="24"/>
              </w:rPr>
            </w:pPr>
            <w:r w:rsidRPr="00AF2C5E">
              <w:rPr>
                <w:rFonts w:cs="Arial"/>
                <w:szCs w:val="24"/>
              </w:rPr>
              <w:t>5.5</w:t>
            </w:r>
          </w:p>
        </w:tc>
        <w:tc>
          <w:tcPr>
            <w:tcW w:w="1008" w:type="dxa"/>
          </w:tcPr>
          <w:p w14:paraId="5ECDD095" w14:textId="77777777" w:rsidR="00AF2C5E" w:rsidRPr="00AF2C5E" w:rsidRDefault="00AF2C5E">
            <w:pPr>
              <w:pStyle w:val="T1"/>
              <w:keepNext/>
              <w:jc w:val="center"/>
              <w:rPr>
                <w:rFonts w:cs="Arial"/>
                <w:szCs w:val="24"/>
              </w:rPr>
            </w:pPr>
            <w:r w:rsidRPr="00AF2C5E">
              <w:rPr>
                <w:rFonts w:cs="Arial"/>
                <w:szCs w:val="24"/>
              </w:rPr>
              <w:t>6.7</w:t>
            </w:r>
          </w:p>
        </w:tc>
        <w:tc>
          <w:tcPr>
            <w:tcW w:w="1656" w:type="dxa"/>
          </w:tcPr>
          <w:p w14:paraId="18C7C04B" w14:textId="77777777" w:rsidR="00AF2C5E" w:rsidRPr="00AF2C5E" w:rsidRDefault="00AF2C5E">
            <w:pPr>
              <w:pStyle w:val="T1"/>
              <w:keepNext/>
              <w:jc w:val="center"/>
              <w:rPr>
                <w:rFonts w:cs="Arial"/>
                <w:szCs w:val="24"/>
              </w:rPr>
            </w:pPr>
            <w:r w:rsidRPr="00AF2C5E">
              <w:rPr>
                <w:rFonts w:cs="Arial"/>
                <w:szCs w:val="24"/>
              </w:rPr>
              <w:t>0.71 (0.59-0.85)</w:t>
            </w:r>
          </w:p>
        </w:tc>
        <w:tc>
          <w:tcPr>
            <w:tcW w:w="1152" w:type="dxa"/>
          </w:tcPr>
          <w:p w14:paraId="4228C0C2" w14:textId="77777777" w:rsidR="00AF2C5E" w:rsidRPr="00AF2C5E" w:rsidRDefault="00AF2C5E">
            <w:pPr>
              <w:pStyle w:val="T1"/>
              <w:keepNext/>
              <w:jc w:val="center"/>
              <w:rPr>
                <w:rFonts w:cs="Arial"/>
                <w:szCs w:val="24"/>
              </w:rPr>
            </w:pPr>
            <w:r w:rsidRPr="00AF2C5E">
              <w:rPr>
                <w:rFonts w:cs="Arial"/>
                <w:szCs w:val="24"/>
              </w:rPr>
              <w:t>0.0002</w:t>
            </w:r>
          </w:p>
        </w:tc>
      </w:tr>
      <w:tr w:rsidR="00AF2C5E" w:rsidRPr="00AF2C5E" w14:paraId="1ABABDBF" w14:textId="77777777">
        <w:trPr>
          <w:cantSplit/>
        </w:trPr>
        <w:tc>
          <w:tcPr>
            <w:tcW w:w="3943" w:type="dxa"/>
          </w:tcPr>
          <w:p w14:paraId="782367BA" w14:textId="77777777" w:rsidR="00AF2C5E" w:rsidRPr="00AF2C5E" w:rsidRDefault="00AF2C5E">
            <w:pPr>
              <w:pStyle w:val="T1"/>
              <w:keepNext/>
              <w:rPr>
                <w:rFonts w:cs="Arial"/>
                <w:szCs w:val="24"/>
              </w:rPr>
            </w:pPr>
            <w:r w:rsidRPr="00AF2C5E">
              <w:rPr>
                <w:rFonts w:cs="Arial"/>
                <w:szCs w:val="24"/>
              </w:rPr>
              <w:t>Overall response rate, %</w:t>
            </w:r>
          </w:p>
        </w:tc>
        <w:tc>
          <w:tcPr>
            <w:tcW w:w="1008" w:type="dxa"/>
          </w:tcPr>
          <w:p w14:paraId="014F429C" w14:textId="77777777" w:rsidR="00AF2C5E" w:rsidRPr="00AF2C5E" w:rsidRDefault="00AF2C5E">
            <w:pPr>
              <w:pStyle w:val="T1"/>
              <w:keepNext/>
              <w:jc w:val="center"/>
              <w:rPr>
                <w:rFonts w:cs="Arial"/>
                <w:szCs w:val="24"/>
              </w:rPr>
            </w:pPr>
            <w:r w:rsidRPr="00AF2C5E">
              <w:rPr>
                <w:rFonts w:cs="Arial"/>
                <w:szCs w:val="24"/>
              </w:rPr>
              <w:t>34.5%</w:t>
            </w:r>
          </w:p>
        </w:tc>
        <w:tc>
          <w:tcPr>
            <w:tcW w:w="1008" w:type="dxa"/>
          </w:tcPr>
          <w:p w14:paraId="58BB0DD9" w14:textId="77777777" w:rsidR="00AF2C5E" w:rsidRPr="00AF2C5E" w:rsidRDefault="00AF2C5E">
            <w:pPr>
              <w:pStyle w:val="T1"/>
              <w:keepNext/>
              <w:jc w:val="center"/>
              <w:rPr>
                <w:rFonts w:cs="Arial"/>
                <w:szCs w:val="24"/>
              </w:rPr>
            </w:pPr>
            <w:r w:rsidRPr="00AF2C5E">
              <w:rPr>
                <w:rFonts w:cs="Arial"/>
                <w:szCs w:val="24"/>
              </w:rPr>
              <w:t>47.3%</w:t>
            </w:r>
          </w:p>
        </w:tc>
        <w:tc>
          <w:tcPr>
            <w:tcW w:w="1656" w:type="dxa"/>
          </w:tcPr>
          <w:p w14:paraId="1B0F19FF" w14:textId="77777777" w:rsidR="00AF2C5E" w:rsidRPr="00AF2C5E" w:rsidRDefault="00AF2C5E">
            <w:pPr>
              <w:pStyle w:val="T1"/>
              <w:keepNext/>
              <w:jc w:val="center"/>
              <w:rPr>
                <w:rFonts w:cs="Arial"/>
                <w:szCs w:val="24"/>
              </w:rPr>
            </w:pPr>
            <w:r w:rsidRPr="00AF2C5E">
              <w:rPr>
                <w:rFonts w:cs="Arial"/>
                <w:szCs w:val="24"/>
              </w:rPr>
              <w:t>1.70</w:t>
            </w:r>
            <w:r w:rsidRPr="00AF2C5E">
              <w:rPr>
                <w:rFonts w:cs="Arial"/>
                <w:szCs w:val="24"/>
                <w:vertAlign w:val="superscript"/>
              </w:rPr>
              <w:t>a</w:t>
            </w:r>
            <w:r w:rsidRPr="00AF2C5E">
              <w:rPr>
                <w:rFonts w:cs="Arial"/>
                <w:szCs w:val="24"/>
              </w:rPr>
              <w:t xml:space="preserve"> (1.22, 2.38)</w:t>
            </w:r>
          </w:p>
        </w:tc>
        <w:tc>
          <w:tcPr>
            <w:tcW w:w="1152" w:type="dxa"/>
          </w:tcPr>
          <w:p w14:paraId="2D651A9D" w14:textId="77777777" w:rsidR="00AF2C5E" w:rsidRPr="00AF2C5E" w:rsidRDefault="00AF2C5E">
            <w:pPr>
              <w:pStyle w:val="T1"/>
              <w:keepNext/>
              <w:jc w:val="center"/>
              <w:rPr>
                <w:rFonts w:cs="Arial"/>
                <w:szCs w:val="24"/>
              </w:rPr>
            </w:pPr>
            <w:r w:rsidRPr="00AF2C5E">
              <w:rPr>
                <w:rFonts w:cs="Arial"/>
                <w:szCs w:val="24"/>
              </w:rPr>
              <w:t>0.0017</w:t>
            </w:r>
          </w:p>
        </w:tc>
      </w:tr>
      <w:tr w:rsidR="00AF2C5E" w:rsidRPr="00AF2C5E" w14:paraId="697BA837" w14:textId="77777777">
        <w:trPr>
          <w:cantSplit/>
        </w:trPr>
        <w:tc>
          <w:tcPr>
            <w:tcW w:w="3943" w:type="dxa"/>
          </w:tcPr>
          <w:p w14:paraId="090E1185" w14:textId="77777777" w:rsidR="00AF2C5E" w:rsidRPr="00AF2C5E" w:rsidRDefault="00AF2C5E">
            <w:pPr>
              <w:pStyle w:val="T1"/>
              <w:keepNext/>
              <w:rPr>
                <w:rFonts w:cs="Arial"/>
                <w:b/>
                <w:szCs w:val="24"/>
              </w:rPr>
            </w:pPr>
            <w:r w:rsidRPr="00AF2C5E">
              <w:rPr>
                <w:rFonts w:cs="Arial"/>
                <w:b/>
                <w:szCs w:val="24"/>
              </w:rPr>
              <w:t>IHC3+ (n=287)</w:t>
            </w:r>
          </w:p>
        </w:tc>
        <w:tc>
          <w:tcPr>
            <w:tcW w:w="1008" w:type="dxa"/>
            <w:tcBorders>
              <w:right w:val="nil"/>
            </w:tcBorders>
          </w:tcPr>
          <w:p w14:paraId="7BC2D994" w14:textId="77777777" w:rsidR="00AF2C5E" w:rsidRPr="00AF2C5E" w:rsidRDefault="00AF2C5E">
            <w:pPr>
              <w:pStyle w:val="T1"/>
              <w:keepNext/>
              <w:jc w:val="center"/>
              <w:rPr>
                <w:rFonts w:cs="Arial"/>
                <w:b/>
                <w:szCs w:val="24"/>
              </w:rPr>
            </w:pPr>
          </w:p>
        </w:tc>
        <w:tc>
          <w:tcPr>
            <w:tcW w:w="1008" w:type="dxa"/>
            <w:tcBorders>
              <w:left w:val="nil"/>
              <w:right w:val="nil"/>
            </w:tcBorders>
          </w:tcPr>
          <w:p w14:paraId="7D2200CB" w14:textId="77777777" w:rsidR="00AF2C5E" w:rsidRPr="00AF2C5E" w:rsidRDefault="00AF2C5E">
            <w:pPr>
              <w:pStyle w:val="T1"/>
              <w:keepNext/>
              <w:jc w:val="center"/>
              <w:rPr>
                <w:rFonts w:cs="Arial"/>
                <w:b/>
                <w:szCs w:val="24"/>
              </w:rPr>
            </w:pPr>
          </w:p>
        </w:tc>
        <w:tc>
          <w:tcPr>
            <w:tcW w:w="1656" w:type="dxa"/>
            <w:tcBorders>
              <w:left w:val="nil"/>
              <w:right w:val="nil"/>
            </w:tcBorders>
          </w:tcPr>
          <w:p w14:paraId="1C8559AB" w14:textId="77777777" w:rsidR="00AF2C5E" w:rsidRPr="00AF2C5E" w:rsidRDefault="00AF2C5E">
            <w:pPr>
              <w:pStyle w:val="T1"/>
              <w:keepNext/>
              <w:jc w:val="center"/>
              <w:rPr>
                <w:rFonts w:cs="Arial"/>
                <w:b/>
                <w:szCs w:val="24"/>
              </w:rPr>
            </w:pPr>
          </w:p>
        </w:tc>
        <w:tc>
          <w:tcPr>
            <w:tcW w:w="1152" w:type="dxa"/>
            <w:tcBorders>
              <w:left w:val="nil"/>
            </w:tcBorders>
          </w:tcPr>
          <w:p w14:paraId="42CDBA94" w14:textId="77777777" w:rsidR="00AF2C5E" w:rsidRPr="00AF2C5E" w:rsidRDefault="00AF2C5E">
            <w:pPr>
              <w:pStyle w:val="T1"/>
              <w:keepNext/>
              <w:jc w:val="center"/>
              <w:rPr>
                <w:rFonts w:cs="Arial"/>
                <w:b/>
                <w:szCs w:val="24"/>
              </w:rPr>
            </w:pPr>
          </w:p>
        </w:tc>
      </w:tr>
      <w:tr w:rsidR="00AF2C5E" w:rsidRPr="00AF2C5E" w14:paraId="78085680" w14:textId="77777777">
        <w:trPr>
          <w:cantSplit/>
        </w:trPr>
        <w:tc>
          <w:tcPr>
            <w:tcW w:w="3943" w:type="dxa"/>
          </w:tcPr>
          <w:p w14:paraId="47F127C3" w14:textId="77777777" w:rsidR="00AF2C5E" w:rsidRPr="00AF2C5E" w:rsidRDefault="00AF2C5E">
            <w:pPr>
              <w:pStyle w:val="T1"/>
              <w:keepNext/>
              <w:rPr>
                <w:rFonts w:cs="Arial"/>
                <w:szCs w:val="24"/>
              </w:rPr>
            </w:pPr>
            <w:r w:rsidRPr="00AF2C5E">
              <w:rPr>
                <w:rFonts w:cs="Arial"/>
                <w:szCs w:val="24"/>
              </w:rPr>
              <w:t>Median overall survival (months)</w:t>
            </w:r>
          </w:p>
        </w:tc>
        <w:tc>
          <w:tcPr>
            <w:tcW w:w="1008" w:type="dxa"/>
          </w:tcPr>
          <w:p w14:paraId="098F3F42" w14:textId="77777777" w:rsidR="00AF2C5E" w:rsidRPr="00AF2C5E" w:rsidRDefault="00AF2C5E">
            <w:pPr>
              <w:pStyle w:val="T1"/>
              <w:keepNext/>
              <w:jc w:val="center"/>
              <w:rPr>
                <w:rFonts w:cs="Arial"/>
                <w:szCs w:val="24"/>
              </w:rPr>
            </w:pPr>
            <w:r w:rsidRPr="00AF2C5E">
              <w:rPr>
                <w:rFonts w:cs="Arial"/>
                <w:szCs w:val="24"/>
              </w:rPr>
              <w:t>12.5</w:t>
            </w:r>
          </w:p>
        </w:tc>
        <w:tc>
          <w:tcPr>
            <w:tcW w:w="1008" w:type="dxa"/>
          </w:tcPr>
          <w:p w14:paraId="577A6B2A" w14:textId="77777777" w:rsidR="00AF2C5E" w:rsidRPr="00AF2C5E" w:rsidRDefault="00AF2C5E">
            <w:pPr>
              <w:pStyle w:val="T1"/>
              <w:keepNext/>
              <w:jc w:val="center"/>
              <w:rPr>
                <w:rFonts w:cs="Arial"/>
                <w:szCs w:val="24"/>
              </w:rPr>
            </w:pPr>
            <w:r w:rsidRPr="00AF2C5E">
              <w:rPr>
                <w:rFonts w:cs="Arial"/>
                <w:szCs w:val="24"/>
              </w:rPr>
              <w:t>17.9</w:t>
            </w:r>
          </w:p>
        </w:tc>
        <w:tc>
          <w:tcPr>
            <w:tcW w:w="1656" w:type="dxa"/>
          </w:tcPr>
          <w:p w14:paraId="0E6E2033" w14:textId="77777777" w:rsidR="00AF2C5E" w:rsidRPr="00AF2C5E" w:rsidRDefault="00AF2C5E">
            <w:pPr>
              <w:pStyle w:val="T1"/>
              <w:keepNext/>
              <w:jc w:val="center"/>
              <w:rPr>
                <w:rFonts w:cs="Arial"/>
                <w:szCs w:val="24"/>
              </w:rPr>
            </w:pPr>
            <w:r w:rsidRPr="00AF2C5E">
              <w:rPr>
                <w:rFonts w:cs="Arial"/>
                <w:szCs w:val="24"/>
              </w:rPr>
              <w:t>0.59 (0.43-0.81)</w:t>
            </w:r>
          </w:p>
        </w:tc>
        <w:tc>
          <w:tcPr>
            <w:tcW w:w="1152" w:type="dxa"/>
          </w:tcPr>
          <w:p w14:paraId="31D5F442" w14:textId="77777777" w:rsidR="00AF2C5E" w:rsidRPr="00AF2C5E" w:rsidRDefault="00AF2C5E">
            <w:pPr>
              <w:pStyle w:val="T1"/>
              <w:keepNext/>
              <w:jc w:val="center"/>
              <w:rPr>
                <w:rFonts w:cs="Arial"/>
                <w:szCs w:val="24"/>
              </w:rPr>
            </w:pPr>
            <w:r w:rsidRPr="00AF2C5E">
              <w:rPr>
                <w:rFonts w:cs="Arial"/>
                <w:szCs w:val="24"/>
              </w:rPr>
              <w:t>n.a.</w:t>
            </w:r>
            <w:r w:rsidRPr="00AF2C5E">
              <w:rPr>
                <w:rFonts w:cs="Arial"/>
                <w:szCs w:val="24"/>
                <w:vertAlign w:val="superscript"/>
              </w:rPr>
              <w:t>b</w:t>
            </w:r>
          </w:p>
        </w:tc>
      </w:tr>
      <w:tr w:rsidR="00AF2C5E" w:rsidRPr="00AF2C5E" w14:paraId="026335E9" w14:textId="77777777">
        <w:trPr>
          <w:cantSplit/>
        </w:trPr>
        <w:tc>
          <w:tcPr>
            <w:tcW w:w="3943" w:type="dxa"/>
          </w:tcPr>
          <w:p w14:paraId="72EB5420" w14:textId="77777777" w:rsidR="00AF2C5E" w:rsidRPr="00AF2C5E" w:rsidRDefault="00AF2C5E">
            <w:pPr>
              <w:pStyle w:val="T1"/>
              <w:keepNext/>
              <w:rPr>
                <w:rFonts w:cs="Arial"/>
                <w:szCs w:val="24"/>
              </w:rPr>
            </w:pPr>
            <w:r w:rsidRPr="00AF2C5E">
              <w:rPr>
                <w:rFonts w:cs="Arial"/>
                <w:szCs w:val="24"/>
              </w:rPr>
              <w:t>Median progression-free survival (months)</w:t>
            </w:r>
          </w:p>
        </w:tc>
        <w:tc>
          <w:tcPr>
            <w:tcW w:w="1008" w:type="dxa"/>
          </w:tcPr>
          <w:p w14:paraId="4907318E" w14:textId="77777777" w:rsidR="00AF2C5E" w:rsidRPr="00AF2C5E" w:rsidRDefault="00AF2C5E">
            <w:pPr>
              <w:pStyle w:val="T1"/>
              <w:keepNext/>
              <w:jc w:val="center"/>
              <w:rPr>
                <w:rFonts w:cs="Arial"/>
                <w:szCs w:val="24"/>
              </w:rPr>
            </w:pPr>
            <w:r w:rsidRPr="00AF2C5E">
              <w:rPr>
                <w:rFonts w:cs="Arial"/>
                <w:szCs w:val="24"/>
              </w:rPr>
              <w:t>5.7%</w:t>
            </w:r>
          </w:p>
        </w:tc>
        <w:tc>
          <w:tcPr>
            <w:tcW w:w="1008" w:type="dxa"/>
          </w:tcPr>
          <w:p w14:paraId="3404FE03" w14:textId="77777777" w:rsidR="00AF2C5E" w:rsidRPr="00AF2C5E" w:rsidRDefault="00AF2C5E">
            <w:pPr>
              <w:pStyle w:val="T1"/>
              <w:keepNext/>
              <w:jc w:val="center"/>
              <w:rPr>
                <w:rFonts w:cs="Arial"/>
                <w:szCs w:val="24"/>
              </w:rPr>
            </w:pPr>
            <w:r w:rsidRPr="00AF2C5E">
              <w:rPr>
                <w:rFonts w:cs="Arial"/>
                <w:szCs w:val="24"/>
              </w:rPr>
              <w:t>8.4%</w:t>
            </w:r>
          </w:p>
        </w:tc>
        <w:tc>
          <w:tcPr>
            <w:tcW w:w="1656" w:type="dxa"/>
          </w:tcPr>
          <w:p w14:paraId="3E91825F" w14:textId="77777777" w:rsidR="00AF2C5E" w:rsidRPr="00AF2C5E" w:rsidRDefault="00AF2C5E">
            <w:pPr>
              <w:pStyle w:val="T1"/>
              <w:keepNext/>
              <w:jc w:val="center"/>
              <w:rPr>
                <w:rFonts w:cs="Arial"/>
                <w:szCs w:val="24"/>
              </w:rPr>
            </w:pPr>
            <w:r w:rsidRPr="00AF2C5E">
              <w:rPr>
                <w:rFonts w:cs="Arial"/>
                <w:szCs w:val="24"/>
              </w:rPr>
              <w:t>0.59 (0.45-0.78)</w:t>
            </w:r>
          </w:p>
        </w:tc>
        <w:tc>
          <w:tcPr>
            <w:tcW w:w="1152" w:type="dxa"/>
          </w:tcPr>
          <w:p w14:paraId="6F4342B6" w14:textId="77777777" w:rsidR="00AF2C5E" w:rsidRPr="00AF2C5E" w:rsidRDefault="00AF2C5E">
            <w:pPr>
              <w:pStyle w:val="T1"/>
              <w:keepNext/>
              <w:jc w:val="center"/>
              <w:rPr>
                <w:rFonts w:cs="Arial"/>
                <w:szCs w:val="24"/>
              </w:rPr>
            </w:pPr>
            <w:r w:rsidRPr="00AF2C5E">
              <w:rPr>
                <w:rFonts w:cs="Arial"/>
                <w:szCs w:val="24"/>
              </w:rPr>
              <w:t>n.a.</w:t>
            </w:r>
            <w:r w:rsidRPr="00AF2C5E">
              <w:rPr>
                <w:rFonts w:cs="Arial"/>
                <w:szCs w:val="24"/>
                <w:vertAlign w:val="superscript"/>
              </w:rPr>
              <w:t>b</w:t>
            </w:r>
          </w:p>
        </w:tc>
      </w:tr>
      <w:tr w:rsidR="00AF2C5E" w:rsidRPr="00AF2C5E" w14:paraId="6EA3A8E7" w14:textId="77777777">
        <w:trPr>
          <w:cantSplit/>
        </w:trPr>
        <w:tc>
          <w:tcPr>
            <w:tcW w:w="3943" w:type="dxa"/>
          </w:tcPr>
          <w:p w14:paraId="3317CD70" w14:textId="77777777" w:rsidR="00AF2C5E" w:rsidRPr="00AF2C5E" w:rsidRDefault="00AF2C5E">
            <w:pPr>
              <w:pStyle w:val="T1"/>
              <w:keepNext/>
              <w:rPr>
                <w:rFonts w:cs="Arial"/>
                <w:b/>
                <w:szCs w:val="24"/>
              </w:rPr>
            </w:pPr>
            <w:r w:rsidRPr="00AF2C5E">
              <w:rPr>
                <w:rFonts w:cs="Arial"/>
                <w:b/>
                <w:szCs w:val="24"/>
              </w:rPr>
              <w:t>IHC2+ and FISH+ (n=159)</w:t>
            </w:r>
          </w:p>
        </w:tc>
        <w:tc>
          <w:tcPr>
            <w:tcW w:w="1008" w:type="dxa"/>
            <w:tcBorders>
              <w:right w:val="nil"/>
            </w:tcBorders>
          </w:tcPr>
          <w:p w14:paraId="33311875" w14:textId="77777777" w:rsidR="00AF2C5E" w:rsidRPr="00AF2C5E" w:rsidRDefault="00AF2C5E">
            <w:pPr>
              <w:pStyle w:val="T1"/>
              <w:keepNext/>
              <w:jc w:val="center"/>
              <w:rPr>
                <w:rFonts w:cs="Arial"/>
                <w:b/>
                <w:szCs w:val="24"/>
              </w:rPr>
            </w:pPr>
          </w:p>
        </w:tc>
        <w:tc>
          <w:tcPr>
            <w:tcW w:w="1008" w:type="dxa"/>
            <w:tcBorders>
              <w:left w:val="nil"/>
              <w:right w:val="nil"/>
            </w:tcBorders>
          </w:tcPr>
          <w:p w14:paraId="7D841804" w14:textId="77777777" w:rsidR="00AF2C5E" w:rsidRPr="00AF2C5E" w:rsidRDefault="00AF2C5E">
            <w:pPr>
              <w:pStyle w:val="T1"/>
              <w:keepNext/>
              <w:jc w:val="center"/>
              <w:rPr>
                <w:rFonts w:cs="Arial"/>
                <w:b/>
                <w:szCs w:val="24"/>
              </w:rPr>
            </w:pPr>
          </w:p>
        </w:tc>
        <w:tc>
          <w:tcPr>
            <w:tcW w:w="1656" w:type="dxa"/>
            <w:tcBorders>
              <w:left w:val="nil"/>
              <w:right w:val="nil"/>
            </w:tcBorders>
          </w:tcPr>
          <w:p w14:paraId="4F9A57A6" w14:textId="77777777" w:rsidR="00AF2C5E" w:rsidRPr="00AF2C5E" w:rsidRDefault="00AF2C5E">
            <w:pPr>
              <w:pStyle w:val="T1"/>
              <w:keepNext/>
              <w:jc w:val="center"/>
              <w:rPr>
                <w:rFonts w:cs="Arial"/>
                <w:b/>
                <w:szCs w:val="24"/>
              </w:rPr>
            </w:pPr>
          </w:p>
        </w:tc>
        <w:tc>
          <w:tcPr>
            <w:tcW w:w="1152" w:type="dxa"/>
            <w:tcBorders>
              <w:left w:val="nil"/>
            </w:tcBorders>
          </w:tcPr>
          <w:p w14:paraId="6F21616E" w14:textId="77777777" w:rsidR="00AF2C5E" w:rsidRPr="00AF2C5E" w:rsidRDefault="00AF2C5E">
            <w:pPr>
              <w:pStyle w:val="T1"/>
              <w:keepNext/>
              <w:jc w:val="center"/>
              <w:rPr>
                <w:rFonts w:cs="Arial"/>
                <w:b/>
                <w:szCs w:val="24"/>
              </w:rPr>
            </w:pPr>
          </w:p>
        </w:tc>
      </w:tr>
      <w:tr w:rsidR="00AF2C5E" w:rsidRPr="00AF2C5E" w14:paraId="6DEAB902" w14:textId="77777777">
        <w:trPr>
          <w:cantSplit/>
        </w:trPr>
        <w:tc>
          <w:tcPr>
            <w:tcW w:w="3943" w:type="dxa"/>
          </w:tcPr>
          <w:p w14:paraId="17938E25" w14:textId="77777777" w:rsidR="00AF2C5E" w:rsidRPr="00AF2C5E" w:rsidRDefault="00AF2C5E">
            <w:pPr>
              <w:pStyle w:val="T1"/>
              <w:keepNext/>
              <w:rPr>
                <w:rFonts w:cs="Arial"/>
                <w:szCs w:val="24"/>
              </w:rPr>
            </w:pPr>
            <w:r w:rsidRPr="00AF2C5E">
              <w:rPr>
                <w:rFonts w:cs="Arial"/>
                <w:szCs w:val="24"/>
              </w:rPr>
              <w:t>Median overall survival (months)</w:t>
            </w:r>
          </w:p>
        </w:tc>
        <w:tc>
          <w:tcPr>
            <w:tcW w:w="1008" w:type="dxa"/>
          </w:tcPr>
          <w:p w14:paraId="12C0EE65" w14:textId="77777777" w:rsidR="00AF2C5E" w:rsidRPr="00AF2C5E" w:rsidRDefault="00AF2C5E">
            <w:pPr>
              <w:pStyle w:val="T1"/>
              <w:keepNext/>
              <w:jc w:val="center"/>
              <w:rPr>
                <w:rFonts w:cs="Arial"/>
                <w:szCs w:val="24"/>
              </w:rPr>
            </w:pPr>
            <w:r w:rsidRPr="00AF2C5E">
              <w:rPr>
                <w:rFonts w:cs="Arial"/>
                <w:szCs w:val="24"/>
              </w:rPr>
              <w:t>10.8</w:t>
            </w:r>
          </w:p>
        </w:tc>
        <w:tc>
          <w:tcPr>
            <w:tcW w:w="1008" w:type="dxa"/>
          </w:tcPr>
          <w:p w14:paraId="0E866113" w14:textId="77777777" w:rsidR="00AF2C5E" w:rsidRPr="00AF2C5E" w:rsidRDefault="00AF2C5E">
            <w:pPr>
              <w:pStyle w:val="T1"/>
              <w:keepNext/>
              <w:jc w:val="center"/>
              <w:rPr>
                <w:rFonts w:cs="Arial"/>
                <w:szCs w:val="24"/>
              </w:rPr>
            </w:pPr>
            <w:r w:rsidRPr="00AF2C5E">
              <w:rPr>
                <w:rFonts w:cs="Arial"/>
                <w:szCs w:val="24"/>
              </w:rPr>
              <w:t>12.3</w:t>
            </w:r>
          </w:p>
        </w:tc>
        <w:tc>
          <w:tcPr>
            <w:tcW w:w="1656" w:type="dxa"/>
          </w:tcPr>
          <w:p w14:paraId="5446DB36" w14:textId="77777777" w:rsidR="00AF2C5E" w:rsidRPr="00AF2C5E" w:rsidRDefault="00AF2C5E">
            <w:pPr>
              <w:pStyle w:val="T1"/>
              <w:keepNext/>
              <w:jc w:val="center"/>
              <w:rPr>
                <w:rFonts w:cs="Arial"/>
                <w:szCs w:val="24"/>
              </w:rPr>
            </w:pPr>
            <w:r w:rsidRPr="00AF2C5E">
              <w:rPr>
                <w:rFonts w:cs="Arial"/>
                <w:szCs w:val="24"/>
              </w:rPr>
              <w:t>0.75 (0.51-1.11)</w:t>
            </w:r>
          </w:p>
        </w:tc>
        <w:tc>
          <w:tcPr>
            <w:tcW w:w="1152" w:type="dxa"/>
          </w:tcPr>
          <w:p w14:paraId="3D548122" w14:textId="77777777" w:rsidR="00AF2C5E" w:rsidRPr="00AF2C5E" w:rsidRDefault="00AF2C5E">
            <w:pPr>
              <w:pStyle w:val="T1"/>
              <w:keepNext/>
              <w:jc w:val="center"/>
              <w:rPr>
                <w:rFonts w:cs="Arial"/>
                <w:szCs w:val="24"/>
              </w:rPr>
            </w:pPr>
            <w:r w:rsidRPr="00AF2C5E">
              <w:rPr>
                <w:rFonts w:cs="Arial"/>
                <w:szCs w:val="24"/>
              </w:rPr>
              <w:t>n.a.</w:t>
            </w:r>
            <w:r w:rsidRPr="00AF2C5E">
              <w:rPr>
                <w:rFonts w:cs="Arial"/>
                <w:szCs w:val="24"/>
                <w:vertAlign w:val="superscript"/>
              </w:rPr>
              <w:t>b</w:t>
            </w:r>
          </w:p>
        </w:tc>
      </w:tr>
      <w:tr w:rsidR="00AF2C5E" w:rsidRPr="00AF2C5E" w14:paraId="1DD1950D" w14:textId="77777777">
        <w:trPr>
          <w:cantSplit/>
        </w:trPr>
        <w:tc>
          <w:tcPr>
            <w:tcW w:w="3943" w:type="dxa"/>
          </w:tcPr>
          <w:p w14:paraId="60C882C0" w14:textId="77777777" w:rsidR="00AF2C5E" w:rsidRPr="00AF2C5E" w:rsidRDefault="00AF2C5E">
            <w:pPr>
              <w:pStyle w:val="T1"/>
              <w:keepNext/>
              <w:rPr>
                <w:rFonts w:cs="Arial"/>
                <w:szCs w:val="24"/>
              </w:rPr>
            </w:pPr>
            <w:r w:rsidRPr="00AF2C5E">
              <w:rPr>
                <w:rFonts w:cs="Arial"/>
                <w:szCs w:val="24"/>
              </w:rPr>
              <w:t>Median progression-free survival (months)</w:t>
            </w:r>
          </w:p>
        </w:tc>
        <w:tc>
          <w:tcPr>
            <w:tcW w:w="1008" w:type="dxa"/>
          </w:tcPr>
          <w:p w14:paraId="074CF7DD" w14:textId="77777777" w:rsidR="00AF2C5E" w:rsidRPr="00AF2C5E" w:rsidRDefault="00AF2C5E">
            <w:pPr>
              <w:pStyle w:val="T1"/>
              <w:keepNext/>
              <w:jc w:val="center"/>
              <w:rPr>
                <w:rFonts w:cs="Arial"/>
                <w:szCs w:val="24"/>
              </w:rPr>
            </w:pPr>
            <w:r w:rsidRPr="00AF2C5E">
              <w:rPr>
                <w:rFonts w:cs="Arial"/>
                <w:szCs w:val="24"/>
              </w:rPr>
              <w:t>5.0</w:t>
            </w:r>
          </w:p>
        </w:tc>
        <w:tc>
          <w:tcPr>
            <w:tcW w:w="1008" w:type="dxa"/>
          </w:tcPr>
          <w:p w14:paraId="2ECD9348" w14:textId="77777777" w:rsidR="00AF2C5E" w:rsidRPr="00AF2C5E" w:rsidRDefault="00AF2C5E">
            <w:pPr>
              <w:pStyle w:val="T1"/>
              <w:keepNext/>
              <w:jc w:val="center"/>
              <w:rPr>
                <w:rFonts w:cs="Arial"/>
                <w:szCs w:val="24"/>
              </w:rPr>
            </w:pPr>
            <w:r w:rsidRPr="00AF2C5E">
              <w:rPr>
                <w:rFonts w:cs="Arial"/>
                <w:szCs w:val="24"/>
              </w:rPr>
              <w:t>5.7</w:t>
            </w:r>
          </w:p>
        </w:tc>
        <w:tc>
          <w:tcPr>
            <w:tcW w:w="1656" w:type="dxa"/>
          </w:tcPr>
          <w:p w14:paraId="1F97FB43" w14:textId="77777777" w:rsidR="00AF2C5E" w:rsidRPr="00AF2C5E" w:rsidRDefault="00AF2C5E">
            <w:pPr>
              <w:pStyle w:val="T1"/>
              <w:keepNext/>
              <w:jc w:val="center"/>
              <w:rPr>
                <w:rFonts w:cs="Arial"/>
                <w:szCs w:val="24"/>
              </w:rPr>
            </w:pPr>
            <w:r w:rsidRPr="00AF2C5E">
              <w:rPr>
                <w:rFonts w:cs="Arial"/>
                <w:szCs w:val="24"/>
              </w:rPr>
              <w:t>0.73 (0.53-1.03)</w:t>
            </w:r>
          </w:p>
        </w:tc>
        <w:tc>
          <w:tcPr>
            <w:tcW w:w="1152" w:type="dxa"/>
          </w:tcPr>
          <w:p w14:paraId="248F0578" w14:textId="77777777" w:rsidR="00AF2C5E" w:rsidRPr="00AF2C5E" w:rsidRDefault="00AF2C5E">
            <w:pPr>
              <w:pStyle w:val="T1"/>
              <w:keepNext/>
              <w:jc w:val="center"/>
              <w:rPr>
                <w:rFonts w:cs="Arial"/>
                <w:szCs w:val="24"/>
              </w:rPr>
            </w:pPr>
            <w:r w:rsidRPr="00AF2C5E">
              <w:rPr>
                <w:rFonts w:cs="Arial"/>
                <w:szCs w:val="24"/>
              </w:rPr>
              <w:t>n.a.</w:t>
            </w:r>
            <w:r w:rsidRPr="00AF2C5E">
              <w:rPr>
                <w:rFonts w:cs="Arial"/>
                <w:szCs w:val="24"/>
                <w:vertAlign w:val="superscript"/>
              </w:rPr>
              <w:t>b</w:t>
            </w:r>
          </w:p>
        </w:tc>
      </w:tr>
      <w:tr w:rsidR="00AF2C5E" w:rsidRPr="00AF2C5E" w14:paraId="4D635540" w14:textId="77777777">
        <w:trPr>
          <w:cantSplit/>
        </w:trPr>
        <w:tc>
          <w:tcPr>
            <w:tcW w:w="3943" w:type="dxa"/>
          </w:tcPr>
          <w:p w14:paraId="0C4FE001" w14:textId="77777777" w:rsidR="00AF2C5E" w:rsidRPr="00AF2C5E" w:rsidRDefault="00AF2C5E">
            <w:pPr>
              <w:pStyle w:val="T1"/>
              <w:keepNext/>
              <w:rPr>
                <w:rFonts w:cs="Arial"/>
                <w:b/>
                <w:szCs w:val="24"/>
              </w:rPr>
            </w:pPr>
            <w:r w:rsidRPr="00AF2C5E">
              <w:rPr>
                <w:rFonts w:cs="Arial"/>
                <w:b/>
                <w:szCs w:val="24"/>
              </w:rPr>
              <w:t>Gastric cancer</w:t>
            </w:r>
          </w:p>
        </w:tc>
        <w:tc>
          <w:tcPr>
            <w:tcW w:w="1008" w:type="dxa"/>
            <w:tcBorders>
              <w:right w:val="nil"/>
            </w:tcBorders>
          </w:tcPr>
          <w:p w14:paraId="6F513664" w14:textId="77777777" w:rsidR="00AF2C5E" w:rsidRPr="00AF2C5E" w:rsidRDefault="00AF2C5E">
            <w:pPr>
              <w:pStyle w:val="T1"/>
              <w:keepNext/>
              <w:jc w:val="center"/>
              <w:rPr>
                <w:rFonts w:cs="Arial"/>
                <w:b/>
                <w:szCs w:val="24"/>
              </w:rPr>
            </w:pPr>
          </w:p>
        </w:tc>
        <w:tc>
          <w:tcPr>
            <w:tcW w:w="1008" w:type="dxa"/>
            <w:tcBorders>
              <w:left w:val="nil"/>
              <w:right w:val="nil"/>
            </w:tcBorders>
          </w:tcPr>
          <w:p w14:paraId="19A084BB" w14:textId="77777777" w:rsidR="00AF2C5E" w:rsidRPr="00AF2C5E" w:rsidRDefault="00AF2C5E">
            <w:pPr>
              <w:pStyle w:val="T1"/>
              <w:keepNext/>
              <w:jc w:val="center"/>
              <w:rPr>
                <w:rFonts w:cs="Arial"/>
                <w:b/>
                <w:szCs w:val="24"/>
              </w:rPr>
            </w:pPr>
          </w:p>
        </w:tc>
        <w:tc>
          <w:tcPr>
            <w:tcW w:w="1656" w:type="dxa"/>
            <w:tcBorders>
              <w:left w:val="nil"/>
              <w:right w:val="nil"/>
            </w:tcBorders>
          </w:tcPr>
          <w:p w14:paraId="3E10AAB6" w14:textId="77777777" w:rsidR="00AF2C5E" w:rsidRPr="00AF2C5E" w:rsidRDefault="00AF2C5E">
            <w:pPr>
              <w:pStyle w:val="T1"/>
              <w:keepNext/>
              <w:jc w:val="center"/>
              <w:rPr>
                <w:rFonts w:cs="Arial"/>
                <w:b/>
                <w:szCs w:val="24"/>
              </w:rPr>
            </w:pPr>
          </w:p>
        </w:tc>
        <w:tc>
          <w:tcPr>
            <w:tcW w:w="1152" w:type="dxa"/>
            <w:tcBorders>
              <w:left w:val="nil"/>
            </w:tcBorders>
          </w:tcPr>
          <w:p w14:paraId="2071EB79" w14:textId="77777777" w:rsidR="00AF2C5E" w:rsidRPr="00AF2C5E" w:rsidRDefault="00AF2C5E">
            <w:pPr>
              <w:pStyle w:val="T1"/>
              <w:keepNext/>
              <w:jc w:val="center"/>
              <w:rPr>
                <w:rFonts w:cs="Arial"/>
                <w:b/>
                <w:szCs w:val="24"/>
              </w:rPr>
            </w:pPr>
          </w:p>
        </w:tc>
      </w:tr>
      <w:tr w:rsidR="00AF2C5E" w:rsidRPr="00AF2C5E" w14:paraId="1F956AF1" w14:textId="77777777">
        <w:trPr>
          <w:cantSplit/>
        </w:trPr>
        <w:tc>
          <w:tcPr>
            <w:tcW w:w="3943" w:type="dxa"/>
          </w:tcPr>
          <w:p w14:paraId="76CA5F59" w14:textId="77777777" w:rsidR="00AF2C5E" w:rsidRPr="00AF2C5E" w:rsidRDefault="00AF2C5E">
            <w:pPr>
              <w:pStyle w:val="T1"/>
              <w:keepNext/>
              <w:rPr>
                <w:rFonts w:cs="Arial"/>
                <w:szCs w:val="24"/>
              </w:rPr>
            </w:pPr>
            <w:r w:rsidRPr="00AF2C5E">
              <w:rPr>
                <w:rFonts w:cs="Arial"/>
                <w:szCs w:val="24"/>
              </w:rPr>
              <w:t>Median overall survival (months)</w:t>
            </w:r>
          </w:p>
        </w:tc>
        <w:tc>
          <w:tcPr>
            <w:tcW w:w="1008" w:type="dxa"/>
          </w:tcPr>
          <w:p w14:paraId="4CB8D723" w14:textId="77777777" w:rsidR="00AF2C5E" w:rsidRPr="00AF2C5E" w:rsidRDefault="00AF2C5E">
            <w:pPr>
              <w:pStyle w:val="T1"/>
              <w:keepNext/>
              <w:jc w:val="center"/>
              <w:rPr>
                <w:rFonts w:cs="Arial"/>
                <w:szCs w:val="24"/>
              </w:rPr>
            </w:pPr>
            <w:r w:rsidRPr="00AF2C5E">
              <w:rPr>
                <w:rFonts w:cs="Arial"/>
                <w:szCs w:val="24"/>
              </w:rPr>
              <w:t>11.1</w:t>
            </w:r>
          </w:p>
        </w:tc>
        <w:tc>
          <w:tcPr>
            <w:tcW w:w="1008" w:type="dxa"/>
          </w:tcPr>
          <w:p w14:paraId="6A2232A7" w14:textId="77777777" w:rsidR="00AF2C5E" w:rsidRPr="00AF2C5E" w:rsidRDefault="00AF2C5E">
            <w:pPr>
              <w:pStyle w:val="T1"/>
              <w:keepNext/>
              <w:jc w:val="center"/>
              <w:rPr>
                <w:rFonts w:cs="Arial"/>
                <w:szCs w:val="24"/>
              </w:rPr>
            </w:pPr>
            <w:r w:rsidRPr="00AF2C5E">
              <w:rPr>
                <w:rFonts w:cs="Arial"/>
                <w:szCs w:val="24"/>
              </w:rPr>
              <w:t>14.6</w:t>
            </w:r>
          </w:p>
        </w:tc>
        <w:tc>
          <w:tcPr>
            <w:tcW w:w="1656" w:type="dxa"/>
          </w:tcPr>
          <w:p w14:paraId="3CFE21CF" w14:textId="77777777" w:rsidR="00AF2C5E" w:rsidRPr="00AF2C5E" w:rsidRDefault="00AF2C5E">
            <w:pPr>
              <w:pStyle w:val="T1"/>
              <w:keepNext/>
              <w:jc w:val="center"/>
              <w:rPr>
                <w:rFonts w:cs="Arial"/>
                <w:szCs w:val="24"/>
              </w:rPr>
            </w:pPr>
            <w:r w:rsidRPr="00AF2C5E">
              <w:rPr>
                <w:rFonts w:cs="Arial"/>
                <w:szCs w:val="24"/>
              </w:rPr>
              <w:t>0.76 (0.60-0.96)</w:t>
            </w:r>
          </w:p>
        </w:tc>
        <w:tc>
          <w:tcPr>
            <w:tcW w:w="1152" w:type="dxa"/>
          </w:tcPr>
          <w:p w14:paraId="7C63E6AD" w14:textId="77777777" w:rsidR="00AF2C5E" w:rsidRPr="00AF2C5E" w:rsidRDefault="00AF2C5E">
            <w:pPr>
              <w:pStyle w:val="T1"/>
              <w:keepNext/>
              <w:jc w:val="center"/>
              <w:rPr>
                <w:rFonts w:cs="Arial"/>
                <w:szCs w:val="24"/>
              </w:rPr>
            </w:pPr>
            <w:r w:rsidRPr="00AF2C5E">
              <w:rPr>
                <w:rFonts w:cs="Arial"/>
                <w:szCs w:val="24"/>
              </w:rPr>
              <w:t>n.a.</w:t>
            </w:r>
            <w:r w:rsidRPr="00AF2C5E">
              <w:rPr>
                <w:rFonts w:cs="Arial"/>
                <w:szCs w:val="24"/>
                <w:vertAlign w:val="superscript"/>
              </w:rPr>
              <w:t>b</w:t>
            </w:r>
          </w:p>
        </w:tc>
      </w:tr>
      <w:tr w:rsidR="00AF2C5E" w:rsidRPr="00AF2C5E" w14:paraId="0F038512" w14:textId="77777777">
        <w:trPr>
          <w:cantSplit/>
        </w:trPr>
        <w:tc>
          <w:tcPr>
            <w:tcW w:w="3943" w:type="dxa"/>
          </w:tcPr>
          <w:p w14:paraId="42346F33" w14:textId="77777777" w:rsidR="00AF2C5E" w:rsidRPr="00AF2C5E" w:rsidRDefault="00AF2C5E">
            <w:pPr>
              <w:pStyle w:val="T1"/>
              <w:keepNext/>
              <w:rPr>
                <w:rFonts w:cs="Arial"/>
                <w:szCs w:val="24"/>
              </w:rPr>
            </w:pPr>
            <w:r w:rsidRPr="00AF2C5E">
              <w:rPr>
                <w:rFonts w:cs="Arial"/>
                <w:szCs w:val="24"/>
              </w:rPr>
              <w:t>Median progression-free survival (months)</w:t>
            </w:r>
          </w:p>
        </w:tc>
        <w:tc>
          <w:tcPr>
            <w:tcW w:w="1008" w:type="dxa"/>
          </w:tcPr>
          <w:p w14:paraId="709AD496" w14:textId="77777777" w:rsidR="00AF2C5E" w:rsidRPr="00AF2C5E" w:rsidRDefault="00AF2C5E">
            <w:pPr>
              <w:pStyle w:val="T1"/>
              <w:keepNext/>
              <w:jc w:val="center"/>
              <w:rPr>
                <w:rFonts w:cs="Arial"/>
                <w:szCs w:val="24"/>
              </w:rPr>
            </w:pPr>
            <w:r w:rsidRPr="00AF2C5E">
              <w:rPr>
                <w:rFonts w:cs="Arial"/>
                <w:szCs w:val="24"/>
              </w:rPr>
              <w:t>5.4</w:t>
            </w:r>
          </w:p>
        </w:tc>
        <w:tc>
          <w:tcPr>
            <w:tcW w:w="1008" w:type="dxa"/>
          </w:tcPr>
          <w:p w14:paraId="7EDA6F41" w14:textId="77777777" w:rsidR="00AF2C5E" w:rsidRPr="00AF2C5E" w:rsidRDefault="00AF2C5E">
            <w:pPr>
              <w:pStyle w:val="T1"/>
              <w:keepNext/>
              <w:jc w:val="center"/>
              <w:rPr>
                <w:rFonts w:cs="Arial"/>
                <w:szCs w:val="24"/>
              </w:rPr>
            </w:pPr>
            <w:r w:rsidRPr="00AF2C5E">
              <w:rPr>
                <w:rFonts w:cs="Arial"/>
                <w:szCs w:val="24"/>
              </w:rPr>
              <w:t>6.3</w:t>
            </w:r>
          </w:p>
        </w:tc>
        <w:tc>
          <w:tcPr>
            <w:tcW w:w="1656" w:type="dxa"/>
          </w:tcPr>
          <w:p w14:paraId="1CEB1F0E" w14:textId="77777777" w:rsidR="00AF2C5E" w:rsidRPr="00AF2C5E" w:rsidRDefault="00AF2C5E">
            <w:pPr>
              <w:pStyle w:val="T1"/>
              <w:keepNext/>
              <w:jc w:val="center"/>
              <w:rPr>
                <w:rFonts w:cs="Arial"/>
                <w:szCs w:val="24"/>
              </w:rPr>
            </w:pPr>
            <w:r w:rsidRPr="00AF2C5E">
              <w:rPr>
                <w:rFonts w:cs="Arial"/>
                <w:szCs w:val="24"/>
              </w:rPr>
              <w:t>0.73 (0.60-0.90)</w:t>
            </w:r>
          </w:p>
        </w:tc>
        <w:tc>
          <w:tcPr>
            <w:tcW w:w="1152" w:type="dxa"/>
          </w:tcPr>
          <w:p w14:paraId="03131B1B" w14:textId="77777777" w:rsidR="00AF2C5E" w:rsidRPr="00AF2C5E" w:rsidRDefault="00AF2C5E">
            <w:pPr>
              <w:pStyle w:val="T1"/>
              <w:keepNext/>
              <w:jc w:val="center"/>
              <w:rPr>
                <w:rFonts w:cs="Arial"/>
                <w:szCs w:val="24"/>
              </w:rPr>
            </w:pPr>
            <w:r w:rsidRPr="00AF2C5E">
              <w:rPr>
                <w:rFonts w:cs="Arial"/>
                <w:szCs w:val="24"/>
              </w:rPr>
              <w:t>n.a.</w:t>
            </w:r>
            <w:r w:rsidRPr="00AF2C5E">
              <w:rPr>
                <w:rFonts w:cs="Arial"/>
                <w:szCs w:val="24"/>
                <w:vertAlign w:val="superscript"/>
              </w:rPr>
              <w:t>b</w:t>
            </w:r>
          </w:p>
        </w:tc>
      </w:tr>
      <w:tr w:rsidR="00AF2C5E" w:rsidRPr="00AF2C5E" w14:paraId="6E9E30A8" w14:textId="77777777">
        <w:trPr>
          <w:cantSplit/>
        </w:trPr>
        <w:tc>
          <w:tcPr>
            <w:tcW w:w="3943" w:type="dxa"/>
          </w:tcPr>
          <w:p w14:paraId="1514C81B" w14:textId="77777777" w:rsidR="00AF2C5E" w:rsidRPr="00AF2C5E" w:rsidRDefault="00AF2C5E">
            <w:pPr>
              <w:rPr>
                <w:rFonts w:ascii="Times New Roman" w:hAnsi="Times New Roman"/>
              </w:rPr>
            </w:pPr>
            <w:r w:rsidRPr="00AF2C5E">
              <w:rPr>
                <w:rFonts w:ascii="Times New Roman" w:hAnsi="Times New Roman" w:cs="Arial"/>
                <w:b/>
                <w:noProof/>
                <w:szCs w:val="24"/>
                <w:lang w:bidi="he-IL"/>
              </w:rPr>
              <w:t>Gastro-oesophageal junction cancer</w:t>
            </w:r>
          </w:p>
        </w:tc>
        <w:tc>
          <w:tcPr>
            <w:tcW w:w="1008" w:type="dxa"/>
            <w:tcBorders>
              <w:right w:val="nil"/>
            </w:tcBorders>
          </w:tcPr>
          <w:p w14:paraId="594D5FA4" w14:textId="77777777" w:rsidR="00AF2C5E" w:rsidRPr="00AF2C5E" w:rsidRDefault="00AF2C5E">
            <w:pPr>
              <w:pStyle w:val="T1"/>
              <w:keepNext/>
              <w:jc w:val="center"/>
              <w:rPr>
                <w:rFonts w:cs="Arial"/>
                <w:b/>
                <w:szCs w:val="24"/>
              </w:rPr>
            </w:pPr>
          </w:p>
        </w:tc>
        <w:tc>
          <w:tcPr>
            <w:tcW w:w="1008" w:type="dxa"/>
            <w:tcBorders>
              <w:left w:val="nil"/>
              <w:right w:val="nil"/>
            </w:tcBorders>
          </w:tcPr>
          <w:p w14:paraId="085AFA63" w14:textId="77777777" w:rsidR="00AF2C5E" w:rsidRPr="00AF2C5E" w:rsidRDefault="00AF2C5E">
            <w:pPr>
              <w:pStyle w:val="T1"/>
              <w:keepNext/>
              <w:jc w:val="center"/>
              <w:rPr>
                <w:rFonts w:cs="Arial"/>
                <w:b/>
                <w:szCs w:val="24"/>
              </w:rPr>
            </w:pPr>
          </w:p>
        </w:tc>
        <w:tc>
          <w:tcPr>
            <w:tcW w:w="1656" w:type="dxa"/>
            <w:tcBorders>
              <w:left w:val="nil"/>
              <w:right w:val="nil"/>
            </w:tcBorders>
          </w:tcPr>
          <w:p w14:paraId="25445958" w14:textId="77777777" w:rsidR="00AF2C5E" w:rsidRPr="00AF2C5E" w:rsidRDefault="00AF2C5E">
            <w:pPr>
              <w:pStyle w:val="T1"/>
              <w:keepNext/>
              <w:jc w:val="center"/>
              <w:rPr>
                <w:rFonts w:cs="Arial"/>
                <w:b/>
                <w:szCs w:val="24"/>
              </w:rPr>
            </w:pPr>
          </w:p>
        </w:tc>
        <w:tc>
          <w:tcPr>
            <w:tcW w:w="1152" w:type="dxa"/>
            <w:tcBorders>
              <w:left w:val="nil"/>
            </w:tcBorders>
          </w:tcPr>
          <w:p w14:paraId="4A245358" w14:textId="77777777" w:rsidR="00AF2C5E" w:rsidRPr="00AF2C5E" w:rsidRDefault="00AF2C5E">
            <w:pPr>
              <w:pStyle w:val="T1"/>
              <w:keepNext/>
              <w:jc w:val="center"/>
              <w:rPr>
                <w:rFonts w:cs="Arial"/>
                <w:b/>
                <w:szCs w:val="24"/>
              </w:rPr>
            </w:pPr>
          </w:p>
        </w:tc>
      </w:tr>
      <w:tr w:rsidR="00AF2C5E" w:rsidRPr="00AF2C5E" w14:paraId="5A525C19" w14:textId="77777777">
        <w:trPr>
          <w:cantSplit/>
        </w:trPr>
        <w:tc>
          <w:tcPr>
            <w:tcW w:w="3943" w:type="dxa"/>
          </w:tcPr>
          <w:p w14:paraId="45BD8721" w14:textId="77777777" w:rsidR="00AF2C5E" w:rsidRPr="00AF2C5E" w:rsidRDefault="00AF2C5E">
            <w:pPr>
              <w:pStyle w:val="T1"/>
              <w:keepNext/>
              <w:rPr>
                <w:rFonts w:cs="Arial"/>
                <w:szCs w:val="24"/>
              </w:rPr>
            </w:pPr>
            <w:r w:rsidRPr="00AF2C5E">
              <w:rPr>
                <w:rFonts w:cs="Arial"/>
                <w:szCs w:val="24"/>
              </w:rPr>
              <w:t>Median overall survival (months)</w:t>
            </w:r>
          </w:p>
        </w:tc>
        <w:tc>
          <w:tcPr>
            <w:tcW w:w="1008" w:type="dxa"/>
          </w:tcPr>
          <w:p w14:paraId="12F5DE9F" w14:textId="77777777" w:rsidR="00AF2C5E" w:rsidRPr="00AF2C5E" w:rsidRDefault="00AF2C5E">
            <w:pPr>
              <w:pStyle w:val="T1"/>
              <w:keepNext/>
              <w:jc w:val="center"/>
              <w:rPr>
                <w:rFonts w:cs="Arial"/>
                <w:szCs w:val="24"/>
              </w:rPr>
            </w:pPr>
            <w:r w:rsidRPr="00AF2C5E">
              <w:rPr>
                <w:rFonts w:cs="Arial"/>
                <w:szCs w:val="24"/>
              </w:rPr>
              <w:t>8.6</w:t>
            </w:r>
          </w:p>
        </w:tc>
        <w:tc>
          <w:tcPr>
            <w:tcW w:w="1008" w:type="dxa"/>
          </w:tcPr>
          <w:p w14:paraId="7D6A473C" w14:textId="77777777" w:rsidR="00AF2C5E" w:rsidRPr="00AF2C5E" w:rsidRDefault="00AF2C5E">
            <w:pPr>
              <w:pStyle w:val="T1"/>
              <w:keepNext/>
              <w:jc w:val="center"/>
              <w:rPr>
                <w:rFonts w:cs="Arial"/>
                <w:szCs w:val="24"/>
              </w:rPr>
            </w:pPr>
            <w:r w:rsidRPr="00AF2C5E">
              <w:rPr>
                <w:rFonts w:cs="Arial"/>
                <w:szCs w:val="24"/>
              </w:rPr>
              <w:t>10.9</w:t>
            </w:r>
          </w:p>
        </w:tc>
        <w:tc>
          <w:tcPr>
            <w:tcW w:w="1656" w:type="dxa"/>
          </w:tcPr>
          <w:p w14:paraId="713BC1F4" w14:textId="77777777" w:rsidR="00AF2C5E" w:rsidRPr="00AF2C5E" w:rsidRDefault="00AF2C5E">
            <w:pPr>
              <w:pStyle w:val="T1"/>
              <w:keepNext/>
              <w:jc w:val="center"/>
              <w:rPr>
                <w:rFonts w:cs="Arial"/>
                <w:szCs w:val="24"/>
              </w:rPr>
            </w:pPr>
            <w:r w:rsidRPr="00AF2C5E">
              <w:rPr>
                <w:rFonts w:cs="Arial"/>
                <w:szCs w:val="24"/>
              </w:rPr>
              <w:t>0.67 (0.42-1.08)</w:t>
            </w:r>
          </w:p>
        </w:tc>
        <w:tc>
          <w:tcPr>
            <w:tcW w:w="1152" w:type="dxa"/>
          </w:tcPr>
          <w:p w14:paraId="1C8CA2E8" w14:textId="77777777" w:rsidR="00AF2C5E" w:rsidRPr="00AF2C5E" w:rsidRDefault="00AF2C5E">
            <w:pPr>
              <w:pStyle w:val="T1"/>
              <w:keepNext/>
              <w:jc w:val="center"/>
              <w:rPr>
                <w:rFonts w:cs="Arial"/>
                <w:szCs w:val="24"/>
              </w:rPr>
            </w:pPr>
            <w:r w:rsidRPr="00AF2C5E">
              <w:rPr>
                <w:rFonts w:cs="Arial"/>
                <w:szCs w:val="24"/>
              </w:rPr>
              <w:t>n.a.</w:t>
            </w:r>
            <w:r w:rsidRPr="00AF2C5E">
              <w:rPr>
                <w:rFonts w:cs="Arial"/>
                <w:szCs w:val="24"/>
                <w:vertAlign w:val="superscript"/>
              </w:rPr>
              <w:t>b</w:t>
            </w:r>
          </w:p>
        </w:tc>
      </w:tr>
      <w:tr w:rsidR="00AF2C5E" w:rsidRPr="00AF2C5E" w14:paraId="4B443981" w14:textId="77777777">
        <w:trPr>
          <w:cantSplit/>
        </w:trPr>
        <w:tc>
          <w:tcPr>
            <w:tcW w:w="3943" w:type="dxa"/>
          </w:tcPr>
          <w:p w14:paraId="24A3FF4E" w14:textId="77777777" w:rsidR="00AF2C5E" w:rsidRPr="00AF2C5E" w:rsidRDefault="00AF2C5E">
            <w:pPr>
              <w:pStyle w:val="T1"/>
              <w:keepNext/>
              <w:rPr>
                <w:rFonts w:cs="Arial"/>
                <w:szCs w:val="24"/>
              </w:rPr>
            </w:pPr>
            <w:r w:rsidRPr="00AF2C5E">
              <w:rPr>
                <w:rFonts w:cs="Arial"/>
                <w:szCs w:val="24"/>
              </w:rPr>
              <w:t>Median progression-free survival (months)</w:t>
            </w:r>
          </w:p>
        </w:tc>
        <w:tc>
          <w:tcPr>
            <w:tcW w:w="1008" w:type="dxa"/>
          </w:tcPr>
          <w:p w14:paraId="42860D1B" w14:textId="77777777" w:rsidR="00AF2C5E" w:rsidRPr="00AF2C5E" w:rsidRDefault="00AF2C5E">
            <w:pPr>
              <w:pStyle w:val="T1"/>
              <w:keepNext/>
              <w:jc w:val="center"/>
              <w:rPr>
                <w:rFonts w:cs="Arial"/>
                <w:szCs w:val="24"/>
              </w:rPr>
            </w:pPr>
            <w:r w:rsidRPr="00AF2C5E">
              <w:rPr>
                <w:rFonts w:cs="Arial"/>
                <w:szCs w:val="24"/>
              </w:rPr>
              <w:t>5.6</w:t>
            </w:r>
          </w:p>
        </w:tc>
        <w:tc>
          <w:tcPr>
            <w:tcW w:w="1008" w:type="dxa"/>
          </w:tcPr>
          <w:p w14:paraId="2BB1A05F" w14:textId="77777777" w:rsidR="00AF2C5E" w:rsidRPr="00AF2C5E" w:rsidRDefault="00AF2C5E">
            <w:pPr>
              <w:pStyle w:val="T1"/>
              <w:keepNext/>
              <w:jc w:val="center"/>
              <w:rPr>
                <w:rFonts w:cs="Arial"/>
                <w:szCs w:val="24"/>
              </w:rPr>
            </w:pPr>
            <w:r w:rsidRPr="00AF2C5E">
              <w:rPr>
                <w:rFonts w:cs="Arial"/>
                <w:szCs w:val="24"/>
              </w:rPr>
              <w:t>7.6</w:t>
            </w:r>
          </w:p>
        </w:tc>
        <w:tc>
          <w:tcPr>
            <w:tcW w:w="1656" w:type="dxa"/>
          </w:tcPr>
          <w:p w14:paraId="58623500" w14:textId="77777777" w:rsidR="00AF2C5E" w:rsidRPr="00AF2C5E" w:rsidRDefault="00AF2C5E">
            <w:pPr>
              <w:pStyle w:val="T1"/>
              <w:keepNext/>
              <w:jc w:val="center"/>
              <w:rPr>
                <w:rFonts w:cs="Arial"/>
                <w:szCs w:val="24"/>
              </w:rPr>
            </w:pPr>
            <w:r w:rsidRPr="00AF2C5E">
              <w:rPr>
                <w:rFonts w:cs="Arial"/>
                <w:szCs w:val="24"/>
              </w:rPr>
              <w:t>0.61 (0.40-0.93)</w:t>
            </w:r>
          </w:p>
        </w:tc>
        <w:tc>
          <w:tcPr>
            <w:tcW w:w="1152" w:type="dxa"/>
          </w:tcPr>
          <w:p w14:paraId="4A982EB2" w14:textId="77777777" w:rsidR="00AF2C5E" w:rsidRPr="00AF2C5E" w:rsidRDefault="00AF2C5E">
            <w:pPr>
              <w:pStyle w:val="T1"/>
              <w:keepNext/>
              <w:jc w:val="center"/>
              <w:rPr>
                <w:rFonts w:cs="Arial"/>
                <w:szCs w:val="24"/>
              </w:rPr>
            </w:pPr>
            <w:r w:rsidRPr="00AF2C5E">
              <w:rPr>
                <w:rFonts w:cs="Arial"/>
                <w:szCs w:val="24"/>
              </w:rPr>
              <w:t>n.a.</w:t>
            </w:r>
            <w:r w:rsidRPr="00AF2C5E">
              <w:rPr>
                <w:rFonts w:cs="Arial"/>
                <w:szCs w:val="24"/>
                <w:vertAlign w:val="superscript"/>
              </w:rPr>
              <w:t>b</w:t>
            </w:r>
          </w:p>
        </w:tc>
      </w:tr>
    </w:tbl>
    <w:p w14:paraId="135EF7B6" w14:textId="77777777" w:rsidR="00AF2C5E" w:rsidRDefault="00AF2C5E">
      <w:pPr>
        <w:pStyle w:val="T1a"/>
        <w:keepNext/>
        <w:keepLines/>
        <w:rPr>
          <w:szCs w:val="24"/>
          <w:lang w:bidi="he-IL"/>
        </w:rPr>
      </w:pPr>
      <w:r>
        <w:rPr>
          <w:noProof/>
          <w:szCs w:val="24"/>
          <w:lang w:bidi="he-IL"/>
        </w:rPr>
        <w:t>FP:</w:t>
      </w:r>
      <w:r>
        <w:rPr>
          <w:szCs w:val="24"/>
          <w:lang w:bidi="he-IL"/>
        </w:rPr>
        <w:t xml:space="preserve"> </w:t>
      </w:r>
      <w:r>
        <w:rPr>
          <w:noProof/>
          <w:szCs w:val="24"/>
          <w:lang w:bidi="he-IL"/>
        </w:rPr>
        <w:t>Fluoropyrimidine/cisplatin</w:t>
      </w:r>
    </w:p>
    <w:p w14:paraId="3D51BF88" w14:textId="77777777" w:rsidR="00AF2C5E" w:rsidRDefault="00AF2C5E">
      <w:pPr>
        <w:pStyle w:val="T2"/>
        <w:keepNext/>
        <w:keepLines/>
        <w:spacing w:before="0" w:after="0"/>
        <w:rPr>
          <w:szCs w:val="24"/>
          <w:lang w:bidi="he-IL"/>
        </w:rPr>
      </w:pPr>
      <w:r>
        <w:rPr>
          <w:noProof/>
          <w:szCs w:val="24"/>
          <w:lang w:bidi="he-IL"/>
        </w:rPr>
        <w:t>H+FP:</w:t>
      </w:r>
      <w:r>
        <w:rPr>
          <w:szCs w:val="24"/>
          <w:lang w:bidi="he-IL"/>
        </w:rPr>
        <w:t xml:space="preserve"> </w:t>
      </w:r>
      <w:r>
        <w:rPr>
          <w:noProof/>
          <w:szCs w:val="24"/>
          <w:lang w:bidi="he-IL"/>
        </w:rPr>
        <w:t>Herceptin + fluoropyrimidine/cisplatin</w:t>
      </w:r>
    </w:p>
    <w:p w14:paraId="042DAA03" w14:textId="77777777" w:rsidR="00AF2C5E" w:rsidRDefault="00AF2C5E">
      <w:pPr>
        <w:pStyle w:val="T2"/>
        <w:keepNext/>
        <w:keepLines/>
        <w:spacing w:before="0" w:after="0"/>
        <w:ind w:left="216" w:hanging="216"/>
        <w:rPr>
          <w:szCs w:val="24"/>
          <w:lang w:bidi="he-IL"/>
        </w:rPr>
      </w:pPr>
      <w:r>
        <w:rPr>
          <w:noProof/>
          <w:szCs w:val="24"/>
          <w:vertAlign w:val="superscript"/>
          <w:lang w:bidi="he-IL"/>
        </w:rPr>
        <w:t>a</w:t>
      </w:r>
      <w:r>
        <w:rPr>
          <w:szCs w:val="24"/>
          <w:lang w:bidi="he-IL"/>
        </w:rPr>
        <w:tab/>
      </w:r>
      <w:r>
        <w:rPr>
          <w:noProof/>
          <w:szCs w:val="24"/>
          <w:lang w:bidi="he-IL"/>
        </w:rPr>
        <w:t>Odds ratio</w:t>
      </w:r>
    </w:p>
    <w:p w14:paraId="66DFF441" w14:textId="77777777" w:rsidR="00AF2C5E" w:rsidRDefault="00AF2C5E">
      <w:pPr>
        <w:pStyle w:val="T2"/>
        <w:keepLines/>
        <w:spacing w:before="0" w:after="0"/>
        <w:ind w:left="216" w:hanging="216"/>
        <w:rPr>
          <w:szCs w:val="24"/>
          <w:lang w:bidi="he-IL"/>
        </w:rPr>
      </w:pPr>
      <w:r>
        <w:rPr>
          <w:noProof/>
          <w:szCs w:val="24"/>
          <w:vertAlign w:val="superscript"/>
          <w:lang w:bidi="he-IL"/>
        </w:rPr>
        <w:t>b</w:t>
      </w:r>
      <w:r>
        <w:rPr>
          <w:szCs w:val="24"/>
          <w:lang w:bidi="he-IL"/>
        </w:rPr>
        <w:tab/>
      </w:r>
      <w:r>
        <w:rPr>
          <w:noProof/>
          <w:szCs w:val="24"/>
          <w:lang w:bidi="he-IL"/>
        </w:rPr>
        <w:t>Subgroup p values not given as power was insufficient to demonstrate differences between study arms.</w:t>
      </w:r>
    </w:p>
    <w:p w14:paraId="38AA402C" w14:textId="77777777" w:rsidR="00AF2C5E" w:rsidRDefault="00AF2C5E">
      <w:pPr>
        <w:pStyle w:val="Heading1"/>
      </w:pPr>
      <w:r>
        <w:t>Pharmacokinetics</w:t>
      </w:r>
    </w:p>
    <w:p w14:paraId="766CBAA9" w14:textId="77777777" w:rsidR="00AF2C5E" w:rsidRDefault="00AF2C5E">
      <w:pPr>
        <w:pStyle w:val="Heading3"/>
        <w:rPr>
          <w:iCs/>
        </w:rPr>
      </w:pPr>
      <w:r>
        <w:rPr>
          <w:iCs/>
        </w:rPr>
        <w:t>The pharmacokinetics of trastuzumab were evaluated in a population pharmacokinetic model analysis using pooled data from 1582 subjects from 18 phase I, II and III studies receiving intravenous Herceptin.Absorption</w:t>
      </w:r>
    </w:p>
    <w:p w14:paraId="4441EE10" w14:textId="77777777" w:rsidR="00AF2C5E" w:rsidRDefault="00AF2C5E">
      <w:pPr>
        <w:pStyle w:val="J1"/>
      </w:pPr>
      <w:r>
        <w:t>Not applicable.</w:t>
      </w:r>
    </w:p>
    <w:p w14:paraId="3056C1A4" w14:textId="77777777" w:rsidR="00AF2C5E" w:rsidRDefault="00AF2C5E">
      <w:pPr>
        <w:pStyle w:val="Heading3"/>
        <w:rPr>
          <w:iCs/>
        </w:rPr>
      </w:pPr>
      <w:r>
        <w:rPr>
          <w:iCs/>
        </w:rPr>
        <w:t>Distribution</w:t>
      </w:r>
    </w:p>
    <w:p w14:paraId="0B4F84A7" w14:textId="77777777" w:rsidR="00AF2C5E" w:rsidRDefault="00AF2C5E">
      <w:pPr>
        <w:pStyle w:val="J1"/>
      </w:pPr>
      <w:r>
        <w:t>The following tables show the population-predicted PK exposures (with 5th-95th percentiles) and PK parameter values at clinically relevant concentrations (Cmax and Cmin) for breast cancer and AGC patients treated with the approved q1w and q3w regimens.</w:t>
      </w:r>
    </w:p>
    <w:p w14:paraId="04A0A681" w14:textId="77777777" w:rsidR="00AF2C5E" w:rsidRDefault="00AF2C5E">
      <w:pPr>
        <w:pStyle w:val="THead"/>
        <w:rPr>
          <w:bCs w:val="0"/>
        </w:rPr>
      </w:pPr>
      <w:r>
        <w:rPr>
          <w:bCs w:val="0"/>
        </w:rPr>
        <w:t>Population-predicted cycle 1 PK exposure values (with the median 5th-95th percentiles) for intravenous regimens in breast cancer and AGC patients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874"/>
        <w:gridCol w:w="1584"/>
        <w:gridCol w:w="1008"/>
        <w:gridCol w:w="1568"/>
        <w:gridCol w:w="1568"/>
        <w:gridCol w:w="1568"/>
      </w:tblGrid>
      <w:tr w:rsidR="00AF2C5E" w:rsidRPr="00AF2C5E" w14:paraId="681CFB48" w14:textId="77777777">
        <w:trPr>
          <w:cantSplit/>
        </w:trPr>
        <w:tc>
          <w:tcPr>
            <w:tcW w:w="1874" w:type="dxa"/>
            <w:vAlign w:val="center"/>
          </w:tcPr>
          <w:p w14:paraId="2220604E" w14:textId="77777777" w:rsidR="00AF2C5E" w:rsidRPr="00AF2C5E" w:rsidRDefault="00AF2C5E">
            <w:pPr>
              <w:pStyle w:val="T3"/>
              <w:rPr>
                <w:rFonts w:cs="Arial"/>
                <w:szCs w:val="24"/>
              </w:rPr>
            </w:pPr>
            <w:r w:rsidRPr="00AF2C5E">
              <w:rPr>
                <w:rFonts w:cs="Arial"/>
                <w:b/>
                <w:szCs w:val="24"/>
              </w:rPr>
              <w:t>Dosage</w:t>
            </w:r>
          </w:p>
        </w:tc>
        <w:tc>
          <w:tcPr>
            <w:tcW w:w="1584" w:type="dxa"/>
            <w:vAlign w:val="center"/>
          </w:tcPr>
          <w:p w14:paraId="4F1B6814" w14:textId="77777777" w:rsidR="00AF2C5E" w:rsidRPr="00AF2C5E" w:rsidRDefault="00AF2C5E">
            <w:pPr>
              <w:pStyle w:val="T3"/>
              <w:rPr>
                <w:rFonts w:cs="Arial"/>
                <w:szCs w:val="24"/>
              </w:rPr>
            </w:pPr>
            <w:r w:rsidRPr="00AF2C5E">
              <w:rPr>
                <w:rFonts w:cs="Arial"/>
                <w:b/>
                <w:szCs w:val="24"/>
              </w:rPr>
              <w:t>Primary tumour type</w:t>
            </w:r>
          </w:p>
        </w:tc>
        <w:tc>
          <w:tcPr>
            <w:tcW w:w="1008" w:type="dxa"/>
            <w:vAlign w:val="center"/>
          </w:tcPr>
          <w:p w14:paraId="697495A3" w14:textId="77777777" w:rsidR="00AF2C5E" w:rsidRPr="00AF2C5E" w:rsidRDefault="00AF2C5E">
            <w:pPr>
              <w:pStyle w:val="T3"/>
              <w:rPr>
                <w:rFonts w:cs="Arial"/>
                <w:szCs w:val="24"/>
              </w:rPr>
            </w:pPr>
            <w:r w:rsidRPr="00AF2C5E">
              <w:rPr>
                <w:rFonts w:cs="Arial"/>
                <w:b/>
                <w:szCs w:val="24"/>
              </w:rPr>
              <w:t>N</w:t>
            </w:r>
          </w:p>
        </w:tc>
        <w:tc>
          <w:tcPr>
            <w:tcW w:w="1568" w:type="dxa"/>
            <w:vAlign w:val="center"/>
          </w:tcPr>
          <w:p w14:paraId="389D8E45" w14:textId="77777777" w:rsidR="00AF2C5E" w:rsidRPr="00AF2C5E" w:rsidRDefault="00AF2C5E">
            <w:pPr>
              <w:pStyle w:val="T3"/>
              <w:rPr>
                <w:rFonts w:cs="Arial"/>
                <w:b/>
                <w:szCs w:val="24"/>
              </w:rPr>
            </w:pPr>
            <w:r w:rsidRPr="00AF2C5E">
              <w:rPr>
                <w:rFonts w:cs="Arial"/>
                <w:b/>
                <w:szCs w:val="24"/>
              </w:rPr>
              <w:t>Cmin</w:t>
            </w:r>
            <w:r w:rsidRPr="00AF2C5E">
              <w:rPr>
                <w:rFonts w:cs="Arial"/>
                <w:b/>
                <w:szCs w:val="24"/>
              </w:rPr>
              <w:br/>
              <w:t>(µg/ml)</w:t>
            </w:r>
          </w:p>
        </w:tc>
        <w:tc>
          <w:tcPr>
            <w:tcW w:w="1568" w:type="dxa"/>
            <w:vAlign w:val="center"/>
          </w:tcPr>
          <w:p w14:paraId="0F67B0CE" w14:textId="77777777" w:rsidR="00AF2C5E" w:rsidRPr="00AF2C5E" w:rsidRDefault="00AF2C5E">
            <w:pPr>
              <w:pStyle w:val="T3"/>
              <w:rPr>
                <w:rFonts w:cs="Arial"/>
                <w:b/>
                <w:szCs w:val="24"/>
              </w:rPr>
            </w:pPr>
            <w:r w:rsidRPr="00AF2C5E">
              <w:rPr>
                <w:rFonts w:cs="Arial"/>
                <w:b/>
                <w:szCs w:val="24"/>
              </w:rPr>
              <w:t>Cmax</w:t>
            </w:r>
            <w:r w:rsidRPr="00AF2C5E">
              <w:rPr>
                <w:rFonts w:cs="Arial"/>
                <w:b/>
                <w:szCs w:val="24"/>
              </w:rPr>
              <w:br/>
              <w:t>(µg/ml)</w:t>
            </w:r>
          </w:p>
        </w:tc>
        <w:tc>
          <w:tcPr>
            <w:tcW w:w="1568" w:type="dxa"/>
            <w:vAlign w:val="center"/>
          </w:tcPr>
          <w:p w14:paraId="17F68A1B" w14:textId="77777777" w:rsidR="00AF2C5E" w:rsidRPr="00AF2C5E" w:rsidRDefault="00AF2C5E">
            <w:pPr>
              <w:pStyle w:val="T3"/>
              <w:rPr>
                <w:rFonts w:cs="Arial"/>
                <w:szCs w:val="24"/>
              </w:rPr>
            </w:pPr>
            <w:r w:rsidRPr="00AF2C5E">
              <w:rPr>
                <w:rFonts w:cs="Arial"/>
                <w:b/>
                <w:szCs w:val="24"/>
              </w:rPr>
              <w:t>AUC</w:t>
            </w:r>
            <w:r w:rsidRPr="00AF2C5E">
              <w:rPr>
                <w:rFonts w:cs="Arial"/>
                <w:b/>
                <w:szCs w:val="24"/>
              </w:rPr>
              <w:br/>
              <w:t>(µg.day/ml)</w:t>
            </w:r>
          </w:p>
        </w:tc>
      </w:tr>
      <w:tr w:rsidR="00AF2C5E" w:rsidRPr="00AF2C5E" w14:paraId="65060C02" w14:textId="77777777">
        <w:trPr>
          <w:cantSplit/>
        </w:trPr>
        <w:tc>
          <w:tcPr>
            <w:tcW w:w="1874" w:type="dxa"/>
            <w:vMerge w:val="restart"/>
            <w:vAlign w:val="center"/>
          </w:tcPr>
          <w:p w14:paraId="3AE0F251" w14:textId="77777777" w:rsidR="00AF2C5E" w:rsidRPr="00AF2C5E" w:rsidRDefault="00AF2C5E">
            <w:pPr>
              <w:pStyle w:val="T3"/>
              <w:rPr>
                <w:rFonts w:cs="Arial"/>
                <w:szCs w:val="24"/>
              </w:rPr>
            </w:pPr>
            <w:r w:rsidRPr="00AF2C5E">
              <w:rPr>
                <w:rFonts w:cs="Arial"/>
                <w:szCs w:val="24"/>
              </w:rPr>
              <w:t>8 mg/kg +</w:t>
            </w:r>
            <w:r w:rsidRPr="00AF2C5E">
              <w:rPr>
                <w:rFonts w:cs="Arial"/>
                <w:szCs w:val="24"/>
              </w:rPr>
              <w:br/>
              <w:t>6 mg/kg q3w</w:t>
            </w:r>
          </w:p>
        </w:tc>
        <w:tc>
          <w:tcPr>
            <w:tcW w:w="1584" w:type="dxa"/>
            <w:vAlign w:val="center"/>
          </w:tcPr>
          <w:p w14:paraId="62BCDC40" w14:textId="77777777" w:rsidR="00AF2C5E" w:rsidRPr="00AF2C5E" w:rsidRDefault="00AF2C5E">
            <w:pPr>
              <w:pStyle w:val="T3"/>
              <w:rPr>
                <w:rFonts w:cs="Arial"/>
                <w:szCs w:val="24"/>
              </w:rPr>
            </w:pPr>
            <w:r w:rsidRPr="00AF2C5E">
              <w:rPr>
                <w:rFonts w:cs="Arial"/>
                <w:szCs w:val="24"/>
              </w:rPr>
              <w:t>MBC/EBC</w:t>
            </w:r>
          </w:p>
        </w:tc>
        <w:tc>
          <w:tcPr>
            <w:tcW w:w="1008" w:type="dxa"/>
            <w:vAlign w:val="center"/>
          </w:tcPr>
          <w:p w14:paraId="025A6064" w14:textId="77777777" w:rsidR="00AF2C5E" w:rsidRPr="00AF2C5E" w:rsidRDefault="00AF2C5E">
            <w:pPr>
              <w:pStyle w:val="T3"/>
              <w:rPr>
                <w:rFonts w:cs="Arial"/>
                <w:szCs w:val="24"/>
              </w:rPr>
            </w:pPr>
            <w:r w:rsidRPr="00AF2C5E">
              <w:rPr>
                <w:rFonts w:cs="Arial"/>
                <w:szCs w:val="24"/>
              </w:rPr>
              <w:t>1195</w:t>
            </w:r>
          </w:p>
        </w:tc>
        <w:tc>
          <w:tcPr>
            <w:tcW w:w="1568" w:type="dxa"/>
            <w:vAlign w:val="center"/>
          </w:tcPr>
          <w:p w14:paraId="60308756" w14:textId="77777777" w:rsidR="00AF2C5E" w:rsidRPr="00AF2C5E" w:rsidRDefault="00AF2C5E">
            <w:pPr>
              <w:pStyle w:val="T3"/>
              <w:rPr>
                <w:rFonts w:cs="Arial"/>
                <w:szCs w:val="24"/>
              </w:rPr>
            </w:pPr>
            <w:r w:rsidRPr="00AF2C5E">
              <w:rPr>
                <w:rFonts w:cs="Arial"/>
                <w:szCs w:val="24"/>
              </w:rPr>
              <w:t>29.4</w:t>
            </w:r>
            <w:r w:rsidRPr="00AF2C5E">
              <w:rPr>
                <w:rFonts w:cs="Arial"/>
                <w:szCs w:val="24"/>
              </w:rPr>
              <w:br/>
              <w:t>(5.8-59.5)</w:t>
            </w:r>
          </w:p>
        </w:tc>
        <w:tc>
          <w:tcPr>
            <w:tcW w:w="1568" w:type="dxa"/>
            <w:vAlign w:val="center"/>
          </w:tcPr>
          <w:p w14:paraId="40C4D220" w14:textId="77777777" w:rsidR="00AF2C5E" w:rsidRPr="00AF2C5E" w:rsidRDefault="00AF2C5E">
            <w:pPr>
              <w:pStyle w:val="T3"/>
              <w:rPr>
                <w:rFonts w:cs="Arial"/>
                <w:szCs w:val="24"/>
              </w:rPr>
            </w:pPr>
            <w:r w:rsidRPr="00AF2C5E">
              <w:rPr>
                <w:rFonts w:cs="Arial"/>
                <w:szCs w:val="24"/>
              </w:rPr>
              <w:t>178</w:t>
            </w:r>
            <w:r w:rsidRPr="00AF2C5E">
              <w:rPr>
                <w:rFonts w:cs="Arial"/>
                <w:szCs w:val="24"/>
              </w:rPr>
              <w:br/>
              <w:t>(117-291)</w:t>
            </w:r>
          </w:p>
        </w:tc>
        <w:tc>
          <w:tcPr>
            <w:tcW w:w="1568" w:type="dxa"/>
            <w:vAlign w:val="center"/>
          </w:tcPr>
          <w:p w14:paraId="59BDE4F9" w14:textId="77777777" w:rsidR="00AF2C5E" w:rsidRPr="00AF2C5E" w:rsidRDefault="00AF2C5E">
            <w:pPr>
              <w:pStyle w:val="T3"/>
              <w:rPr>
                <w:rFonts w:cs="Arial"/>
                <w:szCs w:val="24"/>
              </w:rPr>
            </w:pPr>
            <w:r w:rsidRPr="00AF2C5E">
              <w:rPr>
                <w:rFonts w:cs="Arial"/>
                <w:szCs w:val="24"/>
              </w:rPr>
              <w:t>1373</w:t>
            </w:r>
            <w:r w:rsidRPr="00AF2C5E">
              <w:rPr>
                <w:rFonts w:cs="Arial"/>
                <w:szCs w:val="24"/>
              </w:rPr>
              <w:br/>
              <w:t>(736-2245)</w:t>
            </w:r>
          </w:p>
        </w:tc>
      </w:tr>
      <w:tr w:rsidR="00AF2C5E" w:rsidRPr="00AF2C5E" w14:paraId="7A8E92DD" w14:textId="77777777">
        <w:trPr>
          <w:cantSplit/>
        </w:trPr>
        <w:tc>
          <w:tcPr>
            <w:tcW w:w="1874" w:type="dxa"/>
            <w:vMerge/>
            <w:vAlign w:val="center"/>
          </w:tcPr>
          <w:p w14:paraId="3407839E" w14:textId="77777777" w:rsidR="00AF2C5E" w:rsidRPr="00AF2C5E" w:rsidRDefault="00AF2C5E">
            <w:pPr>
              <w:pStyle w:val="T3"/>
              <w:rPr>
                <w:rFonts w:cs="Arial"/>
                <w:szCs w:val="24"/>
              </w:rPr>
            </w:pPr>
          </w:p>
        </w:tc>
        <w:tc>
          <w:tcPr>
            <w:tcW w:w="1584" w:type="dxa"/>
            <w:vAlign w:val="center"/>
          </w:tcPr>
          <w:p w14:paraId="1F51048A" w14:textId="77777777" w:rsidR="00AF2C5E" w:rsidRPr="00AF2C5E" w:rsidRDefault="00AF2C5E">
            <w:pPr>
              <w:pStyle w:val="T3"/>
              <w:rPr>
                <w:rFonts w:cs="Arial"/>
                <w:szCs w:val="24"/>
              </w:rPr>
            </w:pPr>
            <w:r w:rsidRPr="00AF2C5E">
              <w:rPr>
                <w:rFonts w:cs="Arial"/>
                <w:szCs w:val="24"/>
              </w:rPr>
              <w:t>AGC</w:t>
            </w:r>
          </w:p>
        </w:tc>
        <w:tc>
          <w:tcPr>
            <w:tcW w:w="1008" w:type="dxa"/>
            <w:vAlign w:val="center"/>
          </w:tcPr>
          <w:p w14:paraId="0227E832" w14:textId="77777777" w:rsidR="00AF2C5E" w:rsidRPr="00AF2C5E" w:rsidRDefault="00AF2C5E">
            <w:pPr>
              <w:pStyle w:val="T3"/>
              <w:rPr>
                <w:rFonts w:cs="Arial"/>
                <w:szCs w:val="24"/>
              </w:rPr>
            </w:pPr>
            <w:r w:rsidRPr="00AF2C5E">
              <w:rPr>
                <w:rFonts w:cs="Arial"/>
                <w:szCs w:val="24"/>
              </w:rPr>
              <w:t>274</w:t>
            </w:r>
          </w:p>
        </w:tc>
        <w:tc>
          <w:tcPr>
            <w:tcW w:w="1568" w:type="dxa"/>
            <w:vAlign w:val="center"/>
          </w:tcPr>
          <w:p w14:paraId="50037345" w14:textId="77777777" w:rsidR="00AF2C5E" w:rsidRPr="00AF2C5E" w:rsidRDefault="00AF2C5E">
            <w:pPr>
              <w:pStyle w:val="T3"/>
              <w:rPr>
                <w:rFonts w:cs="Arial"/>
                <w:szCs w:val="24"/>
              </w:rPr>
            </w:pPr>
            <w:r w:rsidRPr="00AF2C5E">
              <w:rPr>
                <w:rFonts w:cs="Arial"/>
                <w:szCs w:val="24"/>
              </w:rPr>
              <w:t>23.1</w:t>
            </w:r>
            <w:r w:rsidRPr="00AF2C5E">
              <w:rPr>
                <w:rFonts w:cs="Arial"/>
                <w:szCs w:val="24"/>
              </w:rPr>
              <w:br/>
              <w:t>(6.1-50.3)</w:t>
            </w:r>
          </w:p>
        </w:tc>
        <w:tc>
          <w:tcPr>
            <w:tcW w:w="1568" w:type="dxa"/>
            <w:vAlign w:val="center"/>
          </w:tcPr>
          <w:p w14:paraId="2F6A053F" w14:textId="77777777" w:rsidR="00AF2C5E" w:rsidRPr="00AF2C5E" w:rsidRDefault="00AF2C5E">
            <w:pPr>
              <w:pStyle w:val="T3"/>
              <w:rPr>
                <w:rFonts w:cs="Arial"/>
                <w:szCs w:val="24"/>
              </w:rPr>
            </w:pPr>
            <w:r w:rsidRPr="00AF2C5E">
              <w:rPr>
                <w:rFonts w:cs="Arial"/>
                <w:szCs w:val="24"/>
              </w:rPr>
              <w:t>132</w:t>
            </w:r>
            <w:r w:rsidRPr="00AF2C5E">
              <w:rPr>
                <w:rFonts w:cs="Arial"/>
                <w:szCs w:val="24"/>
              </w:rPr>
              <w:br/>
              <w:t>(84.2-225)</w:t>
            </w:r>
          </w:p>
        </w:tc>
        <w:tc>
          <w:tcPr>
            <w:tcW w:w="1568" w:type="dxa"/>
            <w:vAlign w:val="center"/>
          </w:tcPr>
          <w:p w14:paraId="115810F0" w14:textId="77777777" w:rsidR="00AF2C5E" w:rsidRPr="00AF2C5E" w:rsidRDefault="00AF2C5E">
            <w:pPr>
              <w:pStyle w:val="T3"/>
              <w:rPr>
                <w:rFonts w:cs="Arial"/>
                <w:szCs w:val="24"/>
              </w:rPr>
            </w:pPr>
            <w:r w:rsidRPr="00AF2C5E">
              <w:rPr>
                <w:rFonts w:cs="Arial"/>
                <w:szCs w:val="24"/>
              </w:rPr>
              <w:t>1109</w:t>
            </w:r>
            <w:r w:rsidRPr="00AF2C5E">
              <w:rPr>
                <w:rFonts w:cs="Arial"/>
                <w:szCs w:val="24"/>
              </w:rPr>
              <w:br/>
              <w:t>(588-1938)</w:t>
            </w:r>
          </w:p>
        </w:tc>
      </w:tr>
      <w:tr w:rsidR="00AF2C5E" w:rsidRPr="00AF2C5E" w14:paraId="6BA8246B" w14:textId="77777777">
        <w:trPr>
          <w:cantSplit/>
        </w:trPr>
        <w:tc>
          <w:tcPr>
            <w:tcW w:w="1874" w:type="dxa"/>
            <w:vAlign w:val="center"/>
          </w:tcPr>
          <w:p w14:paraId="4AA513A8" w14:textId="77777777" w:rsidR="00AF2C5E" w:rsidRPr="00AF2C5E" w:rsidRDefault="00AF2C5E">
            <w:pPr>
              <w:pStyle w:val="T3"/>
              <w:rPr>
                <w:rFonts w:cs="Arial"/>
                <w:szCs w:val="24"/>
              </w:rPr>
            </w:pPr>
            <w:r w:rsidRPr="00AF2C5E">
              <w:rPr>
                <w:rFonts w:cs="Arial"/>
                <w:szCs w:val="24"/>
              </w:rPr>
              <w:t>4 mg/kg +</w:t>
            </w:r>
            <w:r w:rsidRPr="00AF2C5E">
              <w:rPr>
                <w:rFonts w:cs="Arial"/>
                <w:szCs w:val="24"/>
              </w:rPr>
              <w:br/>
              <w:t>2 mg/kg qw</w:t>
            </w:r>
          </w:p>
        </w:tc>
        <w:tc>
          <w:tcPr>
            <w:tcW w:w="1584" w:type="dxa"/>
            <w:vAlign w:val="center"/>
          </w:tcPr>
          <w:p w14:paraId="39EFF91C" w14:textId="77777777" w:rsidR="00AF2C5E" w:rsidRPr="00AF2C5E" w:rsidRDefault="00AF2C5E">
            <w:pPr>
              <w:pStyle w:val="T3"/>
              <w:rPr>
                <w:rFonts w:cs="Arial"/>
                <w:szCs w:val="24"/>
              </w:rPr>
            </w:pPr>
            <w:r w:rsidRPr="00AF2C5E">
              <w:rPr>
                <w:rFonts w:cs="Arial"/>
                <w:szCs w:val="24"/>
              </w:rPr>
              <w:t>MBC/EBC</w:t>
            </w:r>
          </w:p>
        </w:tc>
        <w:tc>
          <w:tcPr>
            <w:tcW w:w="1008" w:type="dxa"/>
            <w:vAlign w:val="center"/>
          </w:tcPr>
          <w:p w14:paraId="46348249" w14:textId="77777777" w:rsidR="00AF2C5E" w:rsidRPr="00AF2C5E" w:rsidRDefault="00AF2C5E">
            <w:pPr>
              <w:pStyle w:val="T3"/>
              <w:rPr>
                <w:rFonts w:cs="Arial"/>
                <w:szCs w:val="24"/>
              </w:rPr>
            </w:pPr>
            <w:r w:rsidRPr="00AF2C5E">
              <w:rPr>
                <w:rFonts w:cs="Arial"/>
                <w:szCs w:val="24"/>
              </w:rPr>
              <w:t>1195</w:t>
            </w:r>
          </w:p>
        </w:tc>
        <w:tc>
          <w:tcPr>
            <w:tcW w:w="1568" w:type="dxa"/>
            <w:vAlign w:val="center"/>
          </w:tcPr>
          <w:p w14:paraId="6776FF90" w14:textId="77777777" w:rsidR="00AF2C5E" w:rsidRPr="00AF2C5E" w:rsidRDefault="00AF2C5E">
            <w:pPr>
              <w:pStyle w:val="T3"/>
              <w:rPr>
                <w:rFonts w:cs="Arial"/>
                <w:szCs w:val="24"/>
              </w:rPr>
            </w:pPr>
            <w:r w:rsidRPr="00AF2C5E">
              <w:rPr>
                <w:rFonts w:cs="Arial"/>
                <w:szCs w:val="24"/>
              </w:rPr>
              <w:t>37.7</w:t>
            </w:r>
            <w:r w:rsidRPr="00AF2C5E">
              <w:rPr>
                <w:rFonts w:cs="Arial"/>
                <w:szCs w:val="24"/>
              </w:rPr>
              <w:br/>
              <w:t>(12.3-70.9)</w:t>
            </w:r>
          </w:p>
        </w:tc>
        <w:tc>
          <w:tcPr>
            <w:tcW w:w="1568" w:type="dxa"/>
            <w:vAlign w:val="center"/>
          </w:tcPr>
          <w:p w14:paraId="5B37175F" w14:textId="77777777" w:rsidR="00AF2C5E" w:rsidRPr="00AF2C5E" w:rsidRDefault="00AF2C5E">
            <w:pPr>
              <w:pStyle w:val="T3"/>
              <w:rPr>
                <w:rFonts w:cs="Arial"/>
                <w:szCs w:val="24"/>
              </w:rPr>
            </w:pPr>
            <w:r w:rsidRPr="00AF2C5E">
              <w:rPr>
                <w:rFonts w:cs="Arial"/>
                <w:szCs w:val="24"/>
              </w:rPr>
              <w:t>88.3</w:t>
            </w:r>
            <w:r w:rsidRPr="00AF2C5E">
              <w:rPr>
                <w:rFonts w:cs="Arial"/>
                <w:szCs w:val="24"/>
              </w:rPr>
              <w:br/>
              <w:t>(58-144)</w:t>
            </w:r>
          </w:p>
        </w:tc>
        <w:tc>
          <w:tcPr>
            <w:tcW w:w="1568" w:type="dxa"/>
            <w:vAlign w:val="center"/>
          </w:tcPr>
          <w:p w14:paraId="6B886C1A" w14:textId="77777777" w:rsidR="00AF2C5E" w:rsidRPr="00AF2C5E" w:rsidRDefault="00AF2C5E">
            <w:pPr>
              <w:pStyle w:val="T3"/>
              <w:rPr>
                <w:rFonts w:cs="Arial"/>
                <w:szCs w:val="24"/>
              </w:rPr>
            </w:pPr>
            <w:r w:rsidRPr="00AF2C5E">
              <w:rPr>
                <w:rFonts w:cs="Arial"/>
                <w:szCs w:val="24"/>
              </w:rPr>
              <w:t>1066</w:t>
            </w:r>
            <w:r w:rsidRPr="00AF2C5E">
              <w:rPr>
                <w:rFonts w:cs="Arial"/>
                <w:szCs w:val="24"/>
              </w:rPr>
              <w:br/>
              <w:t>(586-1754)</w:t>
            </w:r>
          </w:p>
        </w:tc>
      </w:tr>
    </w:tbl>
    <w:p w14:paraId="2C8A0A31" w14:textId="77777777" w:rsidR="00AF2C5E" w:rsidRDefault="00AF2C5E">
      <w:pPr>
        <w:pStyle w:val="THead"/>
        <w:rPr>
          <w:bCs w:val="0"/>
        </w:rPr>
      </w:pPr>
      <w:r>
        <w:rPr>
          <w:bCs w:val="0"/>
        </w:rPr>
        <w:lastRenderedPageBreak/>
        <w:t>Population-predicted steady-state PK exposure values (with 5th-95th percentiles) for intravenous regimens in breast cancer and AGC patients</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512"/>
        <w:gridCol w:w="1152"/>
        <w:gridCol w:w="669"/>
        <w:gridCol w:w="1008"/>
        <w:gridCol w:w="1008"/>
        <w:gridCol w:w="1166"/>
        <w:gridCol w:w="1210"/>
        <w:gridCol w:w="1445"/>
      </w:tblGrid>
      <w:tr w:rsidR="00AF2C5E" w:rsidRPr="00AF2C5E" w14:paraId="072EBD27" w14:textId="77777777">
        <w:trPr>
          <w:cantSplit/>
        </w:trPr>
        <w:tc>
          <w:tcPr>
            <w:tcW w:w="1512" w:type="dxa"/>
            <w:vAlign w:val="center"/>
          </w:tcPr>
          <w:p w14:paraId="46B5D43D" w14:textId="77777777" w:rsidR="00AF2C5E" w:rsidRPr="00AF2C5E" w:rsidRDefault="00AF2C5E">
            <w:pPr>
              <w:pStyle w:val="T3"/>
              <w:rPr>
                <w:rFonts w:cs="Arial"/>
                <w:szCs w:val="24"/>
              </w:rPr>
            </w:pPr>
            <w:r w:rsidRPr="00AF2C5E">
              <w:rPr>
                <w:rFonts w:cs="Arial"/>
                <w:b/>
                <w:szCs w:val="24"/>
              </w:rPr>
              <w:t>Dosage</w:t>
            </w:r>
          </w:p>
        </w:tc>
        <w:tc>
          <w:tcPr>
            <w:tcW w:w="1152" w:type="dxa"/>
            <w:vAlign w:val="center"/>
          </w:tcPr>
          <w:p w14:paraId="489C0B37" w14:textId="77777777" w:rsidR="00AF2C5E" w:rsidRPr="00AF2C5E" w:rsidRDefault="00AF2C5E">
            <w:pPr>
              <w:pStyle w:val="T3"/>
              <w:rPr>
                <w:rFonts w:cs="Arial"/>
                <w:szCs w:val="24"/>
              </w:rPr>
            </w:pPr>
            <w:r w:rsidRPr="00AF2C5E">
              <w:rPr>
                <w:rFonts w:cs="Arial"/>
                <w:b/>
                <w:szCs w:val="24"/>
              </w:rPr>
              <w:t>Primary tumour type</w:t>
            </w:r>
          </w:p>
        </w:tc>
        <w:tc>
          <w:tcPr>
            <w:tcW w:w="669" w:type="dxa"/>
            <w:vAlign w:val="center"/>
          </w:tcPr>
          <w:p w14:paraId="25671BC4" w14:textId="77777777" w:rsidR="00AF2C5E" w:rsidRPr="00AF2C5E" w:rsidRDefault="00AF2C5E">
            <w:pPr>
              <w:pStyle w:val="T3"/>
              <w:rPr>
                <w:rFonts w:cs="Arial"/>
                <w:b/>
                <w:szCs w:val="24"/>
              </w:rPr>
            </w:pPr>
            <w:r w:rsidRPr="00AF2C5E">
              <w:rPr>
                <w:rFonts w:cs="Arial"/>
                <w:b/>
                <w:szCs w:val="24"/>
              </w:rPr>
              <w:t>N</w:t>
            </w:r>
          </w:p>
        </w:tc>
        <w:tc>
          <w:tcPr>
            <w:tcW w:w="1008" w:type="dxa"/>
            <w:vAlign w:val="center"/>
          </w:tcPr>
          <w:p w14:paraId="7FA0FF6C" w14:textId="77777777" w:rsidR="00AF2C5E" w:rsidRPr="00AF2C5E" w:rsidRDefault="00AF2C5E">
            <w:pPr>
              <w:pStyle w:val="T3"/>
              <w:rPr>
                <w:rFonts w:cs="Arial"/>
                <w:b/>
                <w:szCs w:val="24"/>
              </w:rPr>
            </w:pPr>
            <w:r w:rsidRPr="00AF2C5E">
              <w:rPr>
                <w:rFonts w:cs="Arial"/>
                <w:b/>
                <w:szCs w:val="24"/>
              </w:rPr>
              <w:t>Cmin,ss</w:t>
            </w:r>
            <w:r w:rsidRPr="00AF2C5E">
              <w:rPr>
                <w:rFonts w:cs="Arial"/>
                <w:b/>
                <w:szCs w:val="24"/>
              </w:rPr>
              <w:br/>
              <w:t>(µg/ml)</w:t>
            </w:r>
          </w:p>
        </w:tc>
        <w:tc>
          <w:tcPr>
            <w:tcW w:w="1008" w:type="dxa"/>
            <w:vAlign w:val="center"/>
          </w:tcPr>
          <w:p w14:paraId="5E73CE8A" w14:textId="77777777" w:rsidR="00AF2C5E" w:rsidRPr="00AF2C5E" w:rsidRDefault="00AF2C5E">
            <w:pPr>
              <w:pStyle w:val="T3"/>
              <w:rPr>
                <w:rFonts w:cs="Arial"/>
                <w:b/>
                <w:szCs w:val="24"/>
              </w:rPr>
            </w:pPr>
            <w:r w:rsidRPr="00AF2C5E">
              <w:rPr>
                <w:rFonts w:cs="Arial"/>
                <w:b/>
                <w:szCs w:val="24"/>
              </w:rPr>
              <w:t>Cmax,ss</w:t>
            </w:r>
            <w:r w:rsidRPr="00AF2C5E">
              <w:rPr>
                <w:rFonts w:cs="Arial"/>
                <w:b/>
                <w:szCs w:val="24"/>
              </w:rPr>
              <w:br/>
              <w:t>(µg/ml)</w:t>
            </w:r>
          </w:p>
        </w:tc>
        <w:tc>
          <w:tcPr>
            <w:tcW w:w="1166" w:type="dxa"/>
            <w:vAlign w:val="center"/>
          </w:tcPr>
          <w:p w14:paraId="1BC76B29" w14:textId="77777777" w:rsidR="00AF2C5E" w:rsidRPr="00AF2C5E" w:rsidRDefault="00AF2C5E">
            <w:pPr>
              <w:pStyle w:val="T3"/>
              <w:rPr>
                <w:rFonts w:cs="Arial"/>
                <w:szCs w:val="24"/>
              </w:rPr>
            </w:pPr>
            <w:r w:rsidRPr="00AF2C5E">
              <w:rPr>
                <w:rFonts w:cs="Arial"/>
                <w:b/>
                <w:szCs w:val="24"/>
              </w:rPr>
              <w:t>AUCss</w:t>
            </w:r>
            <w:r w:rsidRPr="00AF2C5E">
              <w:rPr>
                <w:rFonts w:cs="Arial"/>
                <w:b/>
                <w:szCs w:val="24"/>
              </w:rPr>
              <w:br/>
              <w:t>(µg.day/ml)</w:t>
            </w:r>
          </w:p>
        </w:tc>
        <w:tc>
          <w:tcPr>
            <w:tcW w:w="1210" w:type="dxa"/>
            <w:vAlign w:val="center"/>
          </w:tcPr>
          <w:p w14:paraId="4C66D45E" w14:textId="77777777" w:rsidR="00AF2C5E" w:rsidRPr="00AF2C5E" w:rsidRDefault="00AF2C5E">
            <w:pPr>
              <w:pStyle w:val="T3"/>
              <w:rPr>
                <w:rFonts w:cs="Arial"/>
                <w:szCs w:val="24"/>
              </w:rPr>
            </w:pPr>
            <w:r w:rsidRPr="00AF2C5E">
              <w:rPr>
                <w:rFonts w:cs="Arial"/>
                <w:b/>
                <w:szCs w:val="24"/>
              </w:rPr>
              <w:t>Time to steady state</w:t>
            </w:r>
            <w:r w:rsidRPr="00AF2C5E">
              <w:rPr>
                <w:rFonts w:cs="Arial"/>
                <w:b/>
                <w:szCs w:val="24"/>
              </w:rPr>
              <w:br/>
              <w:t>(week)</w:t>
            </w:r>
          </w:p>
        </w:tc>
        <w:tc>
          <w:tcPr>
            <w:tcW w:w="1445" w:type="dxa"/>
            <w:vAlign w:val="center"/>
          </w:tcPr>
          <w:p w14:paraId="1FEDF723" w14:textId="77777777" w:rsidR="00AF2C5E" w:rsidRPr="00AF2C5E" w:rsidRDefault="00AF2C5E">
            <w:pPr>
              <w:pStyle w:val="T3"/>
              <w:rPr>
                <w:rFonts w:cs="Arial"/>
                <w:szCs w:val="24"/>
              </w:rPr>
            </w:pPr>
            <w:r w:rsidRPr="00AF2C5E">
              <w:rPr>
                <w:rFonts w:cs="Arial"/>
                <w:b/>
                <w:szCs w:val="24"/>
              </w:rPr>
              <w:t>Total CL range at steady state</w:t>
            </w:r>
            <w:r w:rsidRPr="00AF2C5E">
              <w:rPr>
                <w:rFonts w:cs="Arial"/>
                <w:b/>
                <w:szCs w:val="24"/>
              </w:rPr>
              <w:br/>
              <w:t>(l/day)</w:t>
            </w:r>
          </w:p>
        </w:tc>
      </w:tr>
      <w:tr w:rsidR="00AF2C5E" w:rsidRPr="00AF2C5E" w14:paraId="7B7A1EDC" w14:textId="77777777">
        <w:trPr>
          <w:cantSplit/>
        </w:trPr>
        <w:tc>
          <w:tcPr>
            <w:tcW w:w="1512" w:type="dxa"/>
            <w:vMerge w:val="restart"/>
            <w:vAlign w:val="center"/>
          </w:tcPr>
          <w:p w14:paraId="271B46EE" w14:textId="77777777" w:rsidR="00AF2C5E" w:rsidRPr="00AF2C5E" w:rsidRDefault="00AF2C5E">
            <w:pPr>
              <w:pStyle w:val="T3"/>
              <w:rPr>
                <w:rFonts w:cs="Arial"/>
                <w:szCs w:val="24"/>
              </w:rPr>
            </w:pPr>
            <w:r w:rsidRPr="00AF2C5E">
              <w:rPr>
                <w:rFonts w:cs="Arial"/>
                <w:szCs w:val="24"/>
              </w:rPr>
              <w:t>8 mg/kg +</w:t>
            </w:r>
            <w:r w:rsidRPr="00AF2C5E">
              <w:rPr>
                <w:rFonts w:cs="Arial"/>
                <w:szCs w:val="24"/>
              </w:rPr>
              <w:br/>
              <w:t>6 mg/kg q3w</w:t>
            </w:r>
          </w:p>
        </w:tc>
        <w:tc>
          <w:tcPr>
            <w:tcW w:w="1152" w:type="dxa"/>
            <w:vAlign w:val="center"/>
          </w:tcPr>
          <w:p w14:paraId="5C7CD00E" w14:textId="77777777" w:rsidR="00AF2C5E" w:rsidRPr="00AF2C5E" w:rsidRDefault="00AF2C5E">
            <w:pPr>
              <w:pStyle w:val="T3"/>
              <w:rPr>
                <w:rFonts w:cs="Arial"/>
                <w:szCs w:val="24"/>
              </w:rPr>
            </w:pPr>
            <w:r w:rsidRPr="00AF2C5E">
              <w:rPr>
                <w:rFonts w:cs="Arial"/>
                <w:szCs w:val="24"/>
              </w:rPr>
              <w:t>MBC/EBC</w:t>
            </w:r>
          </w:p>
        </w:tc>
        <w:tc>
          <w:tcPr>
            <w:tcW w:w="669" w:type="dxa"/>
            <w:vAlign w:val="center"/>
          </w:tcPr>
          <w:p w14:paraId="3B46A0BF" w14:textId="77777777" w:rsidR="00AF2C5E" w:rsidRPr="00AF2C5E" w:rsidRDefault="00AF2C5E">
            <w:pPr>
              <w:pStyle w:val="T3"/>
              <w:rPr>
                <w:rFonts w:cs="Arial"/>
                <w:szCs w:val="24"/>
              </w:rPr>
            </w:pPr>
            <w:r w:rsidRPr="00AF2C5E">
              <w:rPr>
                <w:rFonts w:cs="Arial"/>
                <w:szCs w:val="24"/>
              </w:rPr>
              <w:t>1195</w:t>
            </w:r>
          </w:p>
        </w:tc>
        <w:tc>
          <w:tcPr>
            <w:tcW w:w="1008" w:type="dxa"/>
            <w:vAlign w:val="center"/>
          </w:tcPr>
          <w:p w14:paraId="1F919C4D" w14:textId="77777777" w:rsidR="00AF2C5E" w:rsidRPr="00AF2C5E" w:rsidRDefault="00AF2C5E">
            <w:pPr>
              <w:pStyle w:val="T3"/>
              <w:rPr>
                <w:rFonts w:cs="Arial"/>
                <w:szCs w:val="24"/>
              </w:rPr>
            </w:pPr>
            <w:r w:rsidRPr="00AF2C5E">
              <w:rPr>
                <w:rFonts w:cs="Arial"/>
                <w:szCs w:val="24"/>
              </w:rPr>
              <w:t>47.4</w:t>
            </w:r>
            <w:r w:rsidRPr="00AF2C5E">
              <w:rPr>
                <w:rFonts w:cs="Arial"/>
                <w:szCs w:val="24"/>
              </w:rPr>
              <w:br/>
              <w:t>(5-115)</w:t>
            </w:r>
          </w:p>
        </w:tc>
        <w:tc>
          <w:tcPr>
            <w:tcW w:w="1008" w:type="dxa"/>
            <w:vAlign w:val="center"/>
          </w:tcPr>
          <w:p w14:paraId="3025F271" w14:textId="77777777" w:rsidR="00AF2C5E" w:rsidRPr="00AF2C5E" w:rsidRDefault="00AF2C5E">
            <w:pPr>
              <w:pStyle w:val="T3"/>
              <w:rPr>
                <w:rFonts w:cs="Arial"/>
                <w:szCs w:val="24"/>
              </w:rPr>
            </w:pPr>
            <w:r w:rsidRPr="00AF2C5E">
              <w:rPr>
                <w:rFonts w:cs="Arial"/>
                <w:szCs w:val="24"/>
              </w:rPr>
              <w:t>179</w:t>
            </w:r>
            <w:r w:rsidRPr="00AF2C5E">
              <w:rPr>
                <w:rFonts w:cs="Arial"/>
                <w:szCs w:val="24"/>
              </w:rPr>
              <w:br/>
              <w:t>(107-309)</w:t>
            </w:r>
          </w:p>
        </w:tc>
        <w:tc>
          <w:tcPr>
            <w:tcW w:w="1166" w:type="dxa"/>
            <w:vAlign w:val="center"/>
          </w:tcPr>
          <w:p w14:paraId="3AD2A2EE" w14:textId="77777777" w:rsidR="00AF2C5E" w:rsidRPr="00AF2C5E" w:rsidRDefault="00AF2C5E">
            <w:pPr>
              <w:pStyle w:val="T3"/>
              <w:rPr>
                <w:rFonts w:cs="Arial"/>
                <w:szCs w:val="24"/>
              </w:rPr>
            </w:pPr>
            <w:r w:rsidRPr="00AF2C5E">
              <w:rPr>
                <w:rFonts w:cs="Arial"/>
                <w:szCs w:val="24"/>
              </w:rPr>
              <w:t>1794</w:t>
            </w:r>
            <w:r w:rsidRPr="00AF2C5E">
              <w:rPr>
                <w:rFonts w:cs="Arial"/>
                <w:szCs w:val="24"/>
              </w:rPr>
              <w:br/>
              <w:t>(673-3618)</w:t>
            </w:r>
          </w:p>
        </w:tc>
        <w:tc>
          <w:tcPr>
            <w:tcW w:w="1210" w:type="dxa"/>
            <w:vAlign w:val="center"/>
          </w:tcPr>
          <w:p w14:paraId="3DC1620C" w14:textId="77777777" w:rsidR="00AF2C5E" w:rsidRPr="00AF2C5E" w:rsidRDefault="00AF2C5E">
            <w:pPr>
              <w:pStyle w:val="T3"/>
              <w:rPr>
                <w:rFonts w:cs="Arial"/>
                <w:szCs w:val="24"/>
              </w:rPr>
            </w:pPr>
            <w:r w:rsidRPr="00AF2C5E">
              <w:rPr>
                <w:rFonts w:cs="Arial"/>
                <w:szCs w:val="24"/>
              </w:rPr>
              <w:t>12</w:t>
            </w:r>
          </w:p>
        </w:tc>
        <w:tc>
          <w:tcPr>
            <w:tcW w:w="1445" w:type="dxa"/>
            <w:vAlign w:val="center"/>
          </w:tcPr>
          <w:p w14:paraId="3EDB3B2E" w14:textId="77777777" w:rsidR="00AF2C5E" w:rsidRPr="00AF2C5E" w:rsidRDefault="00AF2C5E">
            <w:pPr>
              <w:pStyle w:val="T3"/>
              <w:rPr>
                <w:rFonts w:cs="Arial"/>
                <w:szCs w:val="24"/>
              </w:rPr>
            </w:pPr>
            <w:r w:rsidRPr="00AF2C5E">
              <w:rPr>
                <w:rFonts w:cs="Arial"/>
                <w:szCs w:val="24"/>
              </w:rPr>
              <w:t>0.173-0.283</w:t>
            </w:r>
          </w:p>
        </w:tc>
      </w:tr>
      <w:tr w:rsidR="00AF2C5E" w:rsidRPr="00AF2C5E" w14:paraId="29781731" w14:textId="77777777">
        <w:trPr>
          <w:cantSplit/>
        </w:trPr>
        <w:tc>
          <w:tcPr>
            <w:tcW w:w="1512" w:type="dxa"/>
            <w:vMerge/>
            <w:vAlign w:val="center"/>
          </w:tcPr>
          <w:p w14:paraId="16FEE53F" w14:textId="77777777" w:rsidR="00AF2C5E" w:rsidRPr="00AF2C5E" w:rsidRDefault="00AF2C5E">
            <w:pPr>
              <w:pStyle w:val="T3"/>
              <w:rPr>
                <w:rFonts w:cs="Arial"/>
                <w:szCs w:val="24"/>
              </w:rPr>
            </w:pPr>
          </w:p>
        </w:tc>
        <w:tc>
          <w:tcPr>
            <w:tcW w:w="1152" w:type="dxa"/>
            <w:vAlign w:val="center"/>
          </w:tcPr>
          <w:p w14:paraId="4BAD5729" w14:textId="77777777" w:rsidR="00AF2C5E" w:rsidRPr="00AF2C5E" w:rsidRDefault="00AF2C5E">
            <w:pPr>
              <w:pStyle w:val="T3"/>
              <w:rPr>
                <w:rFonts w:cs="Arial"/>
                <w:szCs w:val="24"/>
              </w:rPr>
            </w:pPr>
            <w:r w:rsidRPr="00AF2C5E">
              <w:rPr>
                <w:rFonts w:cs="Arial"/>
                <w:szCs w:val="24"/>
              </w:rPr>
              <w:t>AGC</w:t>
            </w:r>
          </w:p>
        </w:tc>
        <w:tc>
          <w:tcPr>
            <w:tcW w:w="669" w:type="dxa"/>
            <w:vAlign w:val="center"/>
          </w:tcPr>
          <w:p w14:paraId="53F59F5A" w14:textId="77777777" w:rsidR="00AF2C5E" w:rsidRPr="00AF2C5E" w:rsidRDefault="00AF2C5E">
            <w:pPr>
              <w:pStyle w:val="T3"/>
              <w:rPr>
                <w:rFonts w:cs="Arial"/>
                <w:szCs w:val="24"/>
              </w:rPr>
            </w:pPr>
            <w:r w:rsidRPr="00AF2C5E">
              <w:rPr>
                <w:rFonts w:cs="Arial"/>
                <w:szCs w:val="24"/>
              </w:rPr>
              <w:t>274</w:t>
            </w:r>
          </w:p>
        </w:tc>
        <w:tc>
          <w:tcPr>
            <w:tcW w:w="1008" w:type="dxa"/>
            <w:vAlign w:val="center"/>
          </w:tcPr>
          <w:p w14:paraId="10EF2946" w14:textId="77777777" w:rsidR="00AF2C5E" w:rsidRPr="00AF2C5E" w:rsidRDefault="00AF2C5E">
            <w:pPr>
              <w:pStyle w:val="T3"/>
              <w:rPr>
                <w:rFonts w:cs="Arial"/>
                <w:szCs w:val="24"/>
              </w:rPr>
            </w:pPr>
            <w:r w:rsidRPr="00AF2C5E">
              <w:rPr>
                <w:rFonts w:cs="Arial"/>
                <w:szCs w:val="24"/>
              </w:rPr>
              <w:t>32.9</w:t>
            </w:r>
            <w:r w:rsidRPr="00AF2C5E">
              <w:rPr>
                <w:rFonts w:cs="Arial"/>
                <w:szCs w:val="24"/>
              </w:rPr>
              <w:br/>
              <w:t>(6.1-88.9)</w:t>
            </w:r>
          </w:p>
        </w:tc>
        <w:tc>
          <w:tcPr>
            <w:tcW w:w="1008" w:type="dxa"/>
            <w:vAlign w:val="center"/>
          </w:tcPr>
          <w:p w14:paraId="420F1348" w14:textId="77777777" w:rsidR="00AF2C5E" w:rsidRPr="00AF2C5E" w:rsidRDefault="00AF2C5E">
            <w:pPr>
              <w:pStyle w:val="T3"/>
              <w:rPr>
                <w:rFonts w:cs="Arial"/>
                <w:szCs w:val="24"/>
              </w:rPr>
            </w:pPr>
            <w:r w:rsidRPr="00AF2C5E">
              <w:rPr>
                <w:rFonts w:cs="Arial"/>
                <w:szCs w:val="24"/>
              </w:rPr>
              <w:t>131</w:t>
            </w:r>
            <w:r w:rsidRPr="00AF2C5E">
              <w:rPr>
                <w:rFonts w:cs="Arial"/>
                <w:szCs w:val="24"/>
              </w:rPr>
              <w:br/>
              <w:t>(72.5-251)</w:t>
            </w:r>
          </w:p>
        </w:tc>
        <w:tc>
          <w:tcPr>
            <w:tcW w:w="1166" w:type="dxa"/>
            <w:vAlign w:val="center"/>
          </w:tcPr>
          <w:p w14:paraId="57639B7A" w14:textId="77777777" w:rsidR="00AF2C5E" w:rsidRPr="00AF2C5E" w:rsidRDefault="00AF2C5E">
            <w:pPr>
              <w:pStyle w:val="T3"/>
              <w:rPr>
                <w:rFonts w:cs="Arial"/>
                <w:szCs w:val="24"/>
              </w:rPr>
            </w:pPr>
            <w:r w:rsidRPr="00AF2C5E">
              <w:rPr>
                <w:rFonts w:cs="Arial"/>
                <w:szCs w:val="24"/>
              </w:rPr>
              <w:t>1338</w:t>
            </w:r>
            <w:r w:rsidRPr="00AF2C5E">
              <w:rPr>
                <w:rFonts w:cs="Arial"/>
                <w:szCs w:val="24"/>
              </w:rPr>
              <w:br/>
              <w:t>(557-2875)</w:t>
            </w:r>
          </w:p>
        </w:tc>
        <w:tc>
          <w:tcPr>
            <w:tcW w:w="1210" w:type="dxa"/>
            <w:vAlign w:val="center"/>
          </w:tcPr>
          <w:p w14:paraId="23508DDC" w14:textId="77777777" w:rsidR="00AF2C5E" w:rsidRPr="00AF2C5E" w:rsidRDefault="00AF2C5E">
            <w:pPr>
              <w:pStyle w:val="T3"/>
              <w:rPr>
                <w:rFonts w:cs="Arial"/>
                <w:szCs w:val="24"/>
              </w:rPr>
            </w:pPr>
            <w:r w:rsidRPr="00AF2C5E">
              <w:rPr>
                <w:rFonts w:cs="Arial"/>
                <w:szCs w:val="24"/>
              </w:rPr>
              <w:t>9</w:t>
            </w:r>
          </w:p>
        </w:tc>
        <w:tc>
          <w:tcPr>
            <w:tcW w:w="1445" w:type="dxa"/>
            <w:vAlign w:val="center"/>
          </w:tcPr>
          <w:p w14:paraId="645EF208" w14:textId="77777777" w:rsidR="00AF2C5E" w:rsidRPr="00AF2C5E" w:rsidRDefault="00AF2C5E">
            <w:pPr>
              <w:pStyle w:val="T3"/>
              <w:rPr>
                <w:rFonts w:cs="Arial"/>
                <w:szCs w:val="24"/>
              </w:rPr>
            </w:pPr>
            <w:r w:rsidRPr="00AF2C5E">
              <w:rPr>
                <w:rFonts w:cs="Arial"/>
                <w:szCs w:val="24"/>
              </w:rPr>
              <w:t>0.189-0.337</w:t>
            </w:r>
          </w:p>
        </w:tc>
      </w:tr>
      <w:tr w:rsidR="00AF2C5E" w:rsidRPr="00AF2C5E" w14:paraId="75969219" w14:textId="77777777">
        <w:trPr>
          <w:cantSplit/>
        </w:trPr>
        <w:tc>
          <w:tcPr>
            <w:tcW w:w="1512" w:type="dxa"/>
            <w:vAlign w:val="center"/>
          </w:tcPr>
          <w:p w14:paraId="7F1E770F" w14:textId="77777777" w:rsidR="00AF2C5E" w:rsidRPr="00AF2C5E" w:rsidRDefault="00AF2C5E">
            <w:pPr>
              <w:pStyle w:val="T3"/>
              <w:rPr>
                <w:rFonts w:cs="Arial"/>
                <w:szCs w:val="24"/>
              </w:rPr>
            </w:pPr>
            <w:r w:rsidRPr="00AF2C5E">
              <w:rPr>
                <w:rFonts w:cs="Arial"/>
                <w:szCs w:val="24"/>
              </w:rPr>
              <w:t>4 mg/kg +</w:t>
            </w:r>
            <w:r w:rsidRPr="00AF2C5E">
              <w:rPr>
                <w:rFonts w:cs="Arial"/>
                <w:szCs w:val="24"/>
              </w:rPr>
              <w:br/>
              <w:t>2 mg/kg qw</w:t>
            </w:r>
          </w:p>
        </w:tc>
        <w:tc>
          <w:tcPr>
            <w:tcW w:w="1152" w:type="dxa"/>
            <w:vAlign w:val="center"/>
          </w:tcPr>
          <w:p w14:paraId="4ECA667F" w14:textId="77777777" w:rsidR="00AF2C5E" w:rsidRPr="00AF2C5E" w:rsidRDefault="00AF2C5E">
            <w:pPr>
              <w:pStyle w:val="T3"/>
              <w:rPr>
                <w:rFonts w:cs="Arial"/>
                <w:szCs w:val="24"/>
              </w:rPr>
            </w:pPr>
            <w:r w:rsidRPr="00AF2C5E">
              <w:rPr>
                <w:rFonts w:cs="Arial"/>
                <w:szCs w:val="24"/>
              </w:rPr>
              <w:t>MBC/EBC</w:t>
            </w:r>
          </w:p>
        </w:tc>
        <w:tc>
          <w:tcPr>
            <w:tcW w:w="669" w:type="dxa"/>
            <w:vAlign w:val="center"/>
          </w:tcPr>
          <w:p w14:paraId="45CAED47" w14:textId="77777777" w:rsidR="00AF2C5E" w:rsidRPr="00AF2C5E" w:rsidRDefault="00AF2C5E">
            <w:pPr>
              <w:pStyle w:val="T3"/>
              <w:rPr>
                <w:rFonts w:cs="Arial"/>
                <w:szCs w:val="24"/>
              </w:rPr>
            </w:pPr>
            <w:r w:rsidRPr="00AF2C5E">
              <w:rPr>
                <w:rFonts w:cs="Arial"/>
                <w:szCs w:val="24"/>
              </w:rPr>
              <w:t>1195</w:t>
            </w:r>
          </w:p>
        </w:tc>
        <w:tc>
          <w:tcPr>
            <w:tcW w:w="1008" w:type="dxa"/>
            <w:vAlign w:val="center"/>
          </w:tcPr>
          <w:p w14:paraId="14FDA027" w14:textId="77777777" w:rsidR="00AF2C5E" w:rsidRPr="00AF2C5E" w:rsidRDefault="00AF2C5E">
            <w:pPr>
              <w:pStyle w:val="T3"/>
              <w:rPr>
                <w:rFonts w:cs="Arial"/>
                <w:szCs w:val="24"/>
              </w:rPr>
            </w:pPr>
            <w:r w:rsidRPr="00AF2C5E">
              <w:rPr>
                <w:rFonts w:cs="Arial"/>
                <w:szCs w:val="24"/>
              </w:rPr>
              <w:t>66.1</w:t>
            </w:r>
            <w:r w:rsidRPr="00AF2C5E">
              <w:rPr>
                <w:rFonts w:cs="Arial"/>
                <w:szCs w:val="24"/>
              </w:rPr>
              <w:br/>
              <w:t>(14.9-142)</w:t>
            </w:r>
          </w:p>
        </w:tc>
        <w:tc>
          <w:tcPr>
            <w:tcW w:w="1008" w:type="dxa"/>
            <w:vAlign w:val="center"/>
          </w:tcPr>
          <w:p w14:paraId="60F5A619" w14:textId="77777777" w:rsidR="00AF2C5E" w:rsidRPr="00AF2C5E" w:rsidRDefault="00AF2C5E">
            <w:pPr>
              <w:pStyle w:val="T3"/>
              <w:rPr>
                <w:rFonts w:cs="Arial"/>
                <w:szCs w:val="24"/>
              </w:rPr>
            </w:pPr>
            <w:r w:rsidRPr="00AF2C5E">
              <w:rPr>
                <w:rFonts w:cs="Arial"/>
                <w:szCs w:val="24"/>
              </w:rPr>
              <w:t>109</w:t>
            </w:r>
            <w:r w:rsidRPr="00AF2C5E">
              <w:rPr>
                <w:rFonts w:cs="Arial"/>
                <w:szCs w:val="24"/>
              </w:rPr>
              <w:br/>
              <w:t>(51.0-209)</w:t>
            </w:r>
          </w:p>
        </w:tc>
        <w:tc>
          <w:tcPr>
            <w:tcW w:w="1166" w:type="dxa"/>
            <w:vAlign w:val="center"/>
          </w:tcPr>
          <w:p w14:paraId="4AF1F42F" w14:textId="77777777" w:rsidR="00AF2C5E" w:rsidRPr="00AF2C5E" w:rsidRDefault="00AF2C5E">
            <w:pPr>
              <w:pStyle w:val="T3"/>
              <w:rPr>
                <w:rFonts w:cs="Arial"/>
                <w:szCs w:val="24"/>
              </w:rPr>
            </w:pPr>
            <w:r w:rsidRPr="00AF2C5E">
              <w:rPr>
                <w:rFonts w:cs="Arial"/>
                <w:szCs w:val="24"/>
              </w:rPr>
              <w:t>1765</w:t>
            </w:r>
            <w:r w:rsidRPr="00AF2C5E">
              <w:rPr>
                <w:rFonts w:cs="Arial"/>
                <w:szCs w:val="24"/>
              </w:rPr>
              <w:br/>
              <w:t>(647-3578)</w:t>
            </w:r>
          </w:p>
        </w:tc>
        <w:tc>
          <w:tcPr>
            <w:tcW w:w="1210" w:type="dxa"/>
            <w:vAlign w:val="center"/>
          </w:tcPr>
          <w:p w14:paraId="3F318684" w14:textId="77777777" w:rsidR="00AF2C5E" w:rsidRPr="00AF2C5E" w:rsidRDefault="00AF2C5E">
            <w:pPr>
              <w:pStyle w:val="T3"/>
              <w:rPr>
                <w:rFonts w:cs="Arial"/>
                <w:szCs w:val="24"/>
              </w:rPr>
            </w:pPr>
            <w:r w:rsidRPr="00AF2C5E">
              <w:rPr>
                <w:rFonts w:cs="Arial"/>
                <w:szCs w:val="24"/>
              </w:rPr>
              <w:t>12</w:t>
            </w:r>
          </w:p>
        </w:tc>
        <w:tc>
          <w:tcPr>
            <w:tcW w:w="1445" w:type="dxa"/>
            <w:vAlign w:val="center"/>
          </w:tcPr>
          <w:p w14:paraId="6A024ED1" w14:textId="77777777" w:rsidR="00AF2C5E" w:rsidRPr="00AF2C5E" w:rsidRDefault="00AF2C5E">
            <w:pPr>
              <w:pStyle w:val="T3"/>
              <w:rPr>
                <w:rFonts w:cs="Arial"/>
                <w:szCs w:val="24"/>
              </w:rPr>
            </w:pPr>
            <w:r w:rsidRPr="00AF2C5E">
              <w:rPr>
                <w:rFonts w:cs="Arial"/>
                <w:szCs w:val="24"/>
              </w:rPr>
              <w:t>0.201-0.244</w:t>
            </w:r>
          </w:p>
        </w:tc>
      </w:tr>
    </w:tbl>
    <w:p w14:paraId="2C6FB1AF" w14:textId="77777777" w:rsidR="00AF2C5E" w:rsidRDefault="00AF2C5E">
      <w:pPr>
        <w:pStyle w:val="Heading3"/>
        <w:rPr>
          <w:iCs/>
        </w:rPr>
      </w:pPr>
      <w:r>
        <w:rPr>
          <w:iCs/>
        </w:rPr>
        <w:t>Metabolism</w:t>
      </w:r>
    </w:p>
    <w:p w14:paraId="54004FEE" w14:textId="77777777" w:rsidR="00AF2C5E" w:rsidRDefault="00AF2C5E">
      <w:pPr>
        <w:pStyle w:val="J1"/>
      </w:pPr>
      <w:r>
        <w:t>Not applicable.</w:t>
      </w:r>
    </w:p>
    <w:p w14:paraId="2B0730A2" w14:textId="77777777" w:rsidR="00AF2C5E" w:rsidRDefault="00AF2C5E">
      <w:pPr>
        <w:pStyle w:val="Heading3"/>
        <w:rPr>
          <w:iCs/>
        </w:rPr>
      </w:pPr>
      <w:r>
        <w:rPr>
          <w:iCs/>
        </w:rPr>
        <w:t>Elimination</w:t>
      </w:r>
    </w:p>
    <w:p w14:paraId="4DE18227" w14:textId="77777777" w:rsidR="00AF2C5E" w:rsidRDefault="00AF2C5E">
      <w:pPr>
        <w:pStyle w:val="Heading3a"/>
        <w:rPr>
          <w:iCs w:val="0"/>
        </w:rPr>
      </w:pPr>
      <w:r>
        <w:rPr>
          <w:iCs w:val="0"/>
        </w:rPr>
        <w:t>Trastuzumab washout:</w:t>
      </w:r>
    </w:p>
    <w:p w14:paraId="5F4B010F" w14:textId="77777777" w:rsidR="00AF2C5E" w:rsidRDefault="00AF2C5E">
      <w:pPr>
        <w:pStyle w:val="J1"/>
      </w:pPr>
      <w:r>
        <w:t>The trastuzumab washout period was assessed following intravenous and subcutaneous administration using the respective population PK models. The results of these simulations indicate that at least 95% of patients have reached serum trastuzumab concentrations &lt;1 μg/ml (approximately 3% of the population-predicted Cmin,ss, or about 97% washout) 7 months after the last dose.</w:t>
      </w:r>
    </w:p>
    <w:p w14:paraId="5B74960E" w14:textId="77777777" w:rsidR="00AF2C5E" w:rsidRDefault="00AF2C5E">
      <w:pPr>
        <w:pStyle w:val="Heading3"/>
        <w:rPr>
          <w:iCs/>
        </w:rPr>
      </w:pPr>
      <w:r>
        <w:rPr>
          <w:iCs/>
        </w:rPr>
        <w:t>Circulating shed antigen</w:t>
      </w:r>
    </w:p>
    <w:p w14:paraId="22AD8FB9" w14:textId="77777777" w:rsidR="00AF2C5E" w:rsidRDefault="00AF2C5E">
      <w:pPr>
        <w:pStyle w:val="J1"/>
      </w:pPr>
      <w:r>
        <w:t>Breast cancer: Measurable concentrations of the circulating extracellular domain of the HER2 receptor (shed antigen) are found in the serum of 64% of patients with HER2-overexpressing breast cancers (up to 1880 ng/ml; median 11 ng/ml). Patients with higher baseline shed antigen levels were more likely to have lower serum trough concentrations of trastuzumab. With weekly dosing, most patients with elevated shed antigen levels achieved target serum concentrations of trastuzumab by week 6. No significant relationship has been observed between baseline shed antigen and clinical response.</w:t>
      </w:r>
    </w:p>
    <w:p w14:paraId="776F709D" w14:textId="77777777" w:rsidR="00AF2C5E" w:rsidRDefault="00AF2C5E">
      <w:pPr>
        <w:rPr>
          <w:rFonts w:ascii="Times New Roman" w:hAnsi="Times New Roman" w:cs="Arial"/>
          <w:szCs w:val="24"/>
          <w:lang w:bidi="he-IL"/>
        </w:rPr>
      </w:pPr>
      <w:r>
        <w:rPr>
          <w:rFonts w:ascii="Times New Roman" w:hAnsi="Times New Roman" w:cs="Arial"/>
          <w:noProof/>
          <w:szCs w:val="24"/>
          <w:lang w:bidi="he-IL"/>
        </w:rPr>
        <w:t>There are no data on shed antigen levels in patients with gastric or gastro-oesophageal junction cancer.</w:t>
      </w:r>
    </w:p>
    <w:p w14:paraId="09403106" w14:textId="77777777" w:rsidR="00AF2C5E" w:rsidRDefault="00AF2C5E">
      <w:pPr>
        <w:pStyle w:val="Heading3"/>
        <w:rPr>
          <w:iCs/>
        </w:rPr>
      </w:pPr>
      <w:r>
        <w:rPr>
          <w:iCs/>
        </w:rPr>
        <w:t>Linearity/non-linearity</w:t>
      </w:r>
    </w:p>
    <w:p w14:paraId="7EA55B90" w14:textId="77777777" w:rsidR="00AF2C5E" w:rsidRDefault="00AF2C5E">
      <w:pPr>
        <w:pStyle w:val="J1"/>
      </w:pPr>
      <w:r>
        <w:t>A two-compartment model with parallel linear and non-linear elimination from the central compartment described the trastuzumab concentration-time profile. Due to the non-linear elimination, total clearance increased with decreasing concentrations. Linear clearance was 0.127 l/day for breast cancer (MBC/EBC) and 0.176 l/day for AGC. The maximum elimination rate (Vmax) for non-linear elimination was 8.81 mg/day and the Michaelis-Menten constant (Km) was 8.92 mg/l. The central compartment volume was 2.62 l for patients with breast cancer and 3.63 l for patients with AGC.</w:t>
      </w:r>
    </w:p>
    <w:p w14:paraId="28B69FD8" w14:textId="77777777" w:rsidR="00AF2C5E" w:rsidRDefault="00AF2C5E">
      <w:pPr>
        <w:pStyle w:val="J1"/>
      </w:pPr>
      <w:r>
        <w:br w:type="page"/>
      </w:r>
    </w:p>
    <w:p w14:paraId="011EF71E" w14:textId="77777777" w:rsidR="00AF2C5E" w:rsidRDefault="00AF2C5E">
      <w:pPr>
        <w:rPr>
          <w:rFonts w:ascii="Times New Roman" w:hAnsi="Times New Roman"/>
        </w:rPr>
      </w:pPr>
      <w:r>
        <w:rPr>
          <w:rFonts w:ascii="Times New Roman" w:hAnsi="Times New Roman" w:cs="Arial"/>
          <w:noProof/>
          <w:szCs w:val="24"/>
          <w:lang w:bidi="he-IL"/>
        </w:rPr>
        <w:lastRenderedPageBreak/>
        <w:t>Kinetics in specific patient groups</w:t>
      </w:r>
    </w:p>
    <w:p w14:paraId="1BFADE9E" w14:textId="77777777" w:rsidR="00AF2C5E" w:rsidRDefault="00AF2C5E">
      <w:pPr>
        <w:pStyle w:val="Heading3a"/>
        <w:rPr>
          <w:iCs w:val="0"/>
        </w:rPr>
      </w:pPr>
      <w:r>
        <w:rPr>
          <w:iCs w:val="0"/>
        </w:rPr>
        <w:t>Hepatic impairment</w:t>
      </w:r>
    </w:p>
    <w:p w14:paraId="023B0708" w14:textId="77777777" w:rsidR="00AF2C5E" w:rsidRDefault="00AF2C5E">
      <w:pPr>
        <w:pStyle w:val="J1"/>
      </w:pPr>
      <w:r>
        <w:t>Detailed pharmacokinetic studies have not been carried out in patients with hepatic impairment.</w:t>
      </w:r>
    </w:p>
    <w:p w14:paraId="2D895C4B" w14:textId="77777777" w:rsidR="00AF2C5E" w:rsidRDefault="00AF2C5E">
      <w:pPr>
        <w:pStyle w:val="Heading3"/>
        <w:rPr>
          <w:iCs/>
        </w:rPr>
      </w:pPr>
      <w:r>
        <w:rPr>
          <w:iCs/>
        </w:rPr>
        <w:t>Renal impairment</w:t>
      </w:r>
    </w:p>
    <w:p w14:paraId="09A662AF" w14:textId="77777777" w:rsidR="00AF2C5E" w:rsidRDefault="00AF2C5E">
      <w:pPr>
        <w:pStyle w:val="J1"/>
      </w:pPr>
      <w:r>
        <w:t>Detailed pharmacokinetic studies have not been carried out in patients with renal impairment. A population pharmacokinetic analysis showed that renal impairment does not affect trastuzumab disposition.</w:t>
      </w:r>
    </w:p>
    <w:p w14:paraId="4F24939A" w14:textId="77777777" w:rsidR="00AF2C5E" w:rsidRDefault="00AF2C5E">
      <w:pPr>
        <w:pStyle w:val="J1"/>
      </w:pPr>
      <w:r>
        <w:t>Serum creatinine has not been shown to influence the pharmacological disposition of trastuzumab.</w:t>
      </w:r>
    </w:p>
    <w:p w14:paraId="493F49BB" w14:textId="77777777" w:rsidR="00AF2C5E" w:rsidRDefault="00AF2C5E">
      <w:pPr>
        <w:pStyle w:val="Heading3"/>
        <w:rPr>
          <w:iCs/>
        </w:rPr>
      </w:pPr>
      <w:r>
        <w:rPr>
          <w:iCs/>
        </w:rPr>
        <w:t>Elderly patients</w:t>
      </w:r>
    </w:p>
    <w:p w14:paraId="1BFC77BB" w14:textId="77777777" w:rsidR="00AF2C5E" w:rsidRDefault="00AF2C5E">
      <w:pPr>
        <w:pStyle w:val="J1"/>
      </w:pPr>
      <w:r>
        <w:t>Detailed pharmacokinetic studies have not been carried out in elderly patients.</w:t>
      </w:r>
    </w:p>
    <w:p w14:paraId="3F8A10E2" w14:textId="77777777" w:rsidR="00AF2C5E" w:rsidRDefault="00AF2C5E">
      <w:pPr>
        <w:pStyle w:val="J1"/>
      </w:pPr>
      <w:r>
        <w:t>Patient age had no effect on trastuzumab pharmacokinetics.</w:t>
      </w:r>
    </w:p>
    <w:p w14:paraId="2EB680AD" w14:textId="77777777" w:rsidR="00AF2C5E" w:rsidRDefault="00AF2C5E">
      <w:pPr>
        <w:pStyle w:val="Heading1"/>
      </w:pPr>
      <w:r>
        <w:t>Preclinical data</w:t>
      </w:r>
    </w:p>
    <w:p w14:paraId="2A7326C5" w14:textId="77777777" w:rsidR="00AF2C5E" w:rsidRDefault="00AF2C5E">
      <w:pPr>
        <w:pStyle w:val="Heading3a"/>
        <w:rPr>
          <w:iCs w:val="0"/>
        </w:rPr>
      </w:pPr>
      <w:r>
        <w:rPr>
          <w:iCs w:val="0"/>
        </w:rPr>
        <w:t>Safety pharmacology/Long-term toxicity (or repeat-dose toxicity)</w:t>
      </w:r>
    </w:p>
    <w:p w14:paraId="1EA316B4" w14:textId="77777777" w:rsidR="00AF2C5E" w:rsidRDefault="00AF2C5E">
      <w:pPr>
        <w:pStyle w:val="J1"/>
      </w:pPr>
      <w:r>
        <w:t>Trastuzumab was well tolerated by mice (non-binding species) and cynomolgus monkeys (binding species) in single-dose and repeat-dose toxicity studies of up to 6 months’ duration, respectively. No evidence of acute or chronic toxicity was identified.</w:t>
      </w:r>
    </w:p>
    <w:p w14:paraId="71AAC7A3" w14:textId="77777777" w:rsidR="00AF2C5E" w:rsidRDefault="00AF2C5E">
      <w:pPr>
        <w:pStyle w:val="J1"/>
      </w:pPr>
      <w:r>
        <w:t>Two non-clinical toxicity studies to evaluate cardiotoxic effects of Herceptin were conducted in cynomolgus monkeys.</w:t>
      </w:r>
    </w:p>
    <w:p w14:paraId="3FB9A6A9" w14:textId="77777777" w:rsidR="00AF2C5E" w:rsidRDefault="00AF2C5E">
      <w:pPr>
        <w:pStyle w:val="J1"/>
      </w:pPr>
      <w:r>
        <w:t>The effects of Herceptin were investigated in animals suffering from overt heart damage caused by prior exposure to doxorubicin. At the end of treatment with Herceptin there were no changes in parameters indicative of myocardial cell necrosis. The results showed changes in one parameter – mitral valve E point to septal separation (EPSS) – but not in another two – fractional shortening (FS) and velocity of circumferential shortening (Vcf) – that would have indicated cardiac dysfunction.</w:t>
      </w:r>
    </w:p>
    <w:p w14:paraId="503B7158" w14:textId="77777777" w:rsidR="00AF2C5E" w:rsidRDefault="00AF2C5E">
      <w:pPr>
        <w:pStyle w:val="J2"/>
      </w:pPr>
      <w:r>
        <w:t>One study compared the adverse effects of doxorubicin and Herceptin combination therapy on cardiac function and red and white blood cells with the corresponding side effects of each of the drugs administered alone. The side effects of combination therapy were somewhat more severe and were more prolonged than those of doxorubicin monotherapy. Herceptin monotherapy produced no undesirable effects.</w:t>
      </w:r>
    </w:p>
    <w:p w14:paraId="13780F8B" w14:textId="77777777" w:rsidR="00AF2C5E" w:rsidRDefault="00AF2C5E">
      <w:pPr>
        <w:pStyle w:val="Heading3"/>
        <w:rPr>
          <w:iCs/>
        </w:rPr>
      </w:pPr>
      <w:r>
        <w:rPr>
          <w:iCs/>
        </w:rPr>
        <w:t>Carcinogenicity</w:t>
      </w:r>
    </w:p>
    <w:p w14:paraId="7FF90169" w14:textId="77777777" w:rsidR="00AF2C5E" w:rsidRDefault="00AF2C5E">
      <w:pPr>
        <w:pStyle w:val="J1"/>
      </w:pPr>
      <w:r>
        <w:t>No carcinogenicity studies have been performed to evaluate the carcinogenic potential of Herceptin.</w:t>
      </w:r>
    </w:p>
    <w:p w14:paraId="0EB82903" w14:textId="77777777" w:rsidR="00AF2C5E" w:rsidRDefault="00AF2C5E">
      <w:pPr>
        <w:pStyle w:val="Heading3"/>
        <w:rPr>
          <w:iCs/>
        </w:rPr>
      </w:pPr>
      <w:r>
        <w:rPr>
          <w:iCs/>
        </w:rPr>
        <w:t>Reproductive toxicity</w:t>
      </w:r>
    </w:p>
    <w:p w14:paraId="4A0A01F9" w14:textId="77777777" w:rsidR="00AF2C5E" w:rsidRDefault="00AF2C5E">
      <w:pPr>
        <w:pStyle w:val="J1"/>
      </w:pPr>
      <w:r>
        <w:t>Reproduction studies conducted in cynomolgus monkeys at doses up to 25 times the weekly human maintenance dose of 2 mg/kg Herceptin revealed no evidence of impaired female fertility. The effect on the fertility of male animals was not investigated. Teratogenicity, late gestational toxicity and placental transfer studies produced no evidence of reproductive toxicity.</w:t>
      </w:r>
    </w:p>
    <w:p w14:paraId="7CFA9BE6" w14:textId="77777777" w:rsidR="00AF2C5E" w:rsidRDefault="00AF2C5E">
      <w:pPr>
        <w:pStyle w:val="Heading1"/>
      </w:pPr>
      <w:r>
        <w:t>Other information</w:t>
      </w:r>
    </w:p>
    <w:p w14:paraId="353BBCB8" w14:textId="77777777" w:rsidR="00AF2C5E" w:rsidRDefault="00AF2C5E">
      <w:pPr>
        <w:pStyle w:val="Heading3a"/>
        <w:rPr>
          <w:iCs w:val="0"/>
        </w:rPr>
      </w:pPr>
      <w:r>
        <w:rPr>
          <w:iCs w:val="0"/>
        </w:rPr>
        <w:t>Incompatibilities</w:t>
      </w:r>
    </w:p>
    <w:p w14:paraId="4FC3A38D" w14:textId="77777777" w:rsidR="00AF2C5E" w:rsidRDefault="00AF2C5E">
      <w:pPr>
        <w:pStyle w:val="J1"/>
      </w:pPr>
      <w:r>
        <w:t>No incompatibility has been observed between Herceptin and polyvinylchloride, polyethylene or polypropylene bags.</w:t>
      </w:r>
    </w:p>
    <w:p w14:paraId="1F6647B8" w14:textId="77777777" w:rsidR="00AF2C5E" w:rsidRDefault="00AF2C5E">
      <w:pPr>
        <w:pStyle w:val="J1"/>
      </w:pPr>
      <w:r>
        <w:t>Glucose (5%) solution must not be used, as it causes protein aggregation.</w:t>
      </w:r>
    </w:p>
    <w:p w14:paraId="31DA1C1C" w14:textId="77777777" w:rsidR="00AF2C5E" w:rsidRDefault="00AF2C5E">
      <w:pPr>
        <w:pStyle w:val="J1"/>
      </w:pPr>
      <w:r>
        <w:t>In the absence of compatibility studies, Herceptin must not be mixed or diluted with other medicinal products.</w:t>
      </w:r>
    </w:p>
    <w:p w14:paraId="177535D7" w14:textId="77777777" w:rsidR="00AF2C5E" w:rsidRDefault="00AF2C5E">
      <w:pPr>
        <w:pStyle w:val="Heading3"/>
        <w:rPr>
          <w:iCs/>
        </w:rPr>
      </w:pPr>
      <w:r>
        <w:rPr>
          <w:iCs/>
        </w:rPr>
        <w:lastRenderedPageBreak/>
        <w:t>Stability</w:t>
      </w:r>
    </w:p>
    <w:p w14:paraId="069F4084" w14:textId="77777777" w:rsidR="00AF2C5E" w:rsidRDefault="00AF2C5E">
      <w:pPr>
        <w:pStyle w:val="J1"/>
      </w:pPr>
      <w:r>
        <w:t>Do not use this medicine after the expiry date (EXP) stated on the pack.</w:t>
      </w:r>
    </w:p>
    <w:p w14:paraId="267ABF67" w14:textId="2D25E366" w:rsidR="00AF2C5E" w:rsidRPr="00955789" w:rsidRDefault="00AF2C5E" w:rsidP="008D25E1">
      <w:pPr>
        <w:pStyle w:val="Heading3"/>
        <w:rPr>
          <w:iCs/>
        </w:rPr>
      </w:pPr>
      <w:r w:rsidRPr="0035254F">
        <w:rPr>
          <w:iCs/>
        </w:rPr>
        <w:t>S</w:t>
      </w:r>
      <w:r w:rsidR="00955789" w:rsidRPr="0035254F">
        <w:rPr>
          <w:iCs/>
        </w:rPr>
        <w:t>tability</w:t>
      </w:r>
      <w:r w:rsidRPr="0035254F">
        <w:rPr>
          <w:iCs/>
        </w:rPr>
        <w:t xml:space="preserve"> after opening</w:t>
      </w:r>
    </w:p>
    <w:p w14:paraId="4E0D95C7" w14:textId="77777777" w:rsidR="00955789" w:rsidRPr="00955789" w:rsidRDefault="00955789" w:rsidP="00955789">
      <w:pPr>
        <w:pStyle w:val="Heading5"/>
      </w:pPr>
      <w:r w:rsidRPr="00955789">
        <w:t>Herceptin 150 mg for single-dose use</w:t>
      </w:r>
    </w:p>
    <w:p w14:paraId="7A37D871" w14:textId="77777777" w:rsidR="00AF2C5E" w:rsidRPr="00955789" w:rsidRDefault="00BA704F">
      <w:pPr>
        <w:pStyle w:val="Heading3a"/>
      </w:pPr>
      <w:r w:rsidRPr="00955789">
        <w:t>Stability</w:t>
      </w:r>
      <w:r w:rsidR="00AF2C5E" w:rsidRPr="00955789">
        <w:t xml:space="preserve"> of reconstituted concentrate</w:t>
      </w:r>
    </w:p>
    <w:p w14:paraId="4B776F7F" w14:textId="77777777" w:rsidR="00AF2C5E" w:rsidRPr="00955789" w:rsidRDefault="00AF2C5E">
      <w:pPr>
        <w:pStyle w:val="J1"/>
      </w:pPr>
      <w:r w:rsidRPr="00955789">
        <w:t>The concentrate reconstituted with sterile water for injection is physically and chemically stable for up to 48 hours at 2°C to 8°C.</w:t>
      </w:r>
    </w:p>
    <w:p w14:paraId="3FFD2C22" w14:textId="77777777" w:rsidR="00AF2C5E" w:rsidRPr="00955789" w:rsidRDefault="00AF2C5E">
      <w:pPr>
        <w:pStyle w:val="J1"/>
      </w:pPr>
      <w:r w:rsidRPr="00955789">
        <w:t>For microbiological reasons the reconstituted concentrate should immediately be further diluted in the infusion solution. If not, the storage time and conditions of the ready-to-use solution prior to use are the responsibility of the user and should not exceed 24 hours at 2°C to 8°C unless reconstitution has been carried out under controlled and validated aseptic conditions.</w:t>
      </w:r>
    </w:p>
    <w:p w14:paraId="6E92FBC0" w14:textId="77777777" w:rsidR="00AF2C5E" w:rsidRPr="00955789" w:rsidRDefault="00AF2C5E">
      <w:pPr>
        <w:pStyle w:val="J1"/>
      </w:pPr>
      <w:r w:rsidRPr="00955789">
        <w:t>Do not freeze the reconstituted concentrate.</w:t>
      </w:r>
    </w:p>
    <w:p w14:paraId="17D0E811" w14:textId="77777777" w:rsidR="00AF2C5E" w:rsidRPr="00955789" w:rsidRDefault="00955789">
      <w:pPr>
        <w:pStyle w:val="Heading3"/>
        <w:rPr>
          <w:iCs/>
        </w:rPr>
      </w:pPr>
      <w:r w:rsidRPr="00955789">
        <w:rPr>
          <w:iCs/>
        </w:rPr>
        <w:t>Stability</w:t>
      </w:r>
      <w:r w:rsidR="00AF2C5E" w:rsidRPr="00955789">
        <w:rPr>
          <w:iCs/>
        </w:rPr>
        <w:t xml:space="preserve"> of ready-to-use Herceptin 150 mg solution for infusion</w:t>
      </w:r>
    </w:p>
    <w:p w14:paraId="44639CA2" w14:textId="77777777" w:rsidR="00AF2C5E" w:rsidRPr="00955789" w:rsidRDefault="00AF2C5E">
      <w:pPr>
        <w:pStyle w:val="J1"/>
      </w:pPr>
      <w:r w:rsidRPr="00955789">
        <w:t>The ready-to-use Herceptin infusion solution (diluted in sodium chloride 0.9%) is physically and chemically stable for up to 30 days at 2°C to 8°C and 24 hours at room temperature (≤30°C).</w:t>
      </w:r>
    </w:p>
    <w:p w14:paraId="3C7CBF21" w14:textId="77777777" w:rsidR="00AF2C5E" w:rsidRPr="00955789" w:rsidRDefault="00AF2C5E">
      <w:pPr>
        <w:pStyle w:val="J1"/>
      </w:pPr>
      <w:r w:rsidRPr="00955789">
        <w:t>For microbiological reasons the Herceptin infusion solution should be used immediately. If not used immediately, the storage time and conditions of the infusion solution prior to use are the responsibility of the user and should not exceed 24 hours at 2°C to 8°C unless reconstitution and dilution have been carried out under controlled and validated aseptic conditions.</w:t>
      </w:r>
    </w:p>
    <w:p w14:paraId="18BD2B62" w14:textId="77777777" w:rsidR="00AF2C5E" w:rsidRPr="00955789" w:rsidRDefault="00AF2C5E">
      <w:pPr>
        <w:pStyle w:val="Heading5"/>
        <w:rPr>
          <w:rFonts w:ascii="Times New Roman" w:hAnsi="Times New Roman"/>
        </w:rPr>
      </w:pPr>
      <w:r w:rsidRPr="00955789">
        <w:rPr>
          <w:rFonts w:ascii="Times New Roman" w:hAnsi="Times New Roman"/>
        </w:rPr>
        <w:t>Herceptin 440 mg for multidose use</w:t>
      </w:r>
    </w:p>
    <w:p w14:paraId="2C3612A3" w14:textId="77777777" w:rsidR="00AF2C5E" w:rsidRPr="00955789" w:rsidRDefault="001A4D25" w:rsidP="001A4D25">
      <w:pPr>
        <w:pStyle w:val="Heading3a"/>
      </w:pPr>
      <w:r w:rsidRPr="001A4D25">
        <w:rPr>
          <w:iCs w:val="0"/>
        </w:rPr>
        <w:t>Stability</w:t>
      </w:r>
      <w:r w:rsidR="00AF2C5E" w:rsidRPr="00955789">
        <w:t xml:space="preserve"> of reconstituted concentrate</w:t>
      </w:r>
    </w:p>
    <w:p w14:paraId="3175CE5C" w14:textId="77777777" w:rsidR="00AF2C5E" w:rsidRPr="00955789" w:rsidRDefault="00AF2C5E">
      <w:pPr>
        <w:pStyle w:val="J1"/>
      </w:pPr>
      <w:r w:rsidRPr="00955789">
        <w:t>The Herceptin concentrate reconstituted with the bacteriostatic water for injection supplied with the 440 mg vial of Herceptin is stable for 28 days at 2°C to 8°C. It contains a preservative and is therefore suitable for multidose use. Any remaining reconstituted concentrate should be discarded after 28 days.</w:t>
      </w:r>
    </w:p>
    <w:p w14:paraId="0F7A5C6B" w14:textId="77777777" w:rsidR="00AF2C5E" w:rsidRPr="00955789" w:rsidRDefault="00AF2C5E">
      <w:pPr>
        <w:pStyle w:val="J1"/>
      </w:pPr>
      <w:r w:rsidRPr="00955789">
        <w:t>When administering Herceptin to a patient with known hypersensitivity to benzyl alcohol [see “Warnings and precautions: Herceptin for multidose use (benzyl alcohol)”], Herceptin should be reconstituted with sterile water for injection, with only one dose of Herceptin taken from each vial. The concentrate reconstituted with sterile water for injection should be used immediately. Any unused portion should be discarded.</w:t>
      </w:r>
    </w:p>
    <w:p w14:paraId="643822CD" w14:textId="77777777" w:rsidR="00AF2C5E" w:rsidRPr="00955789" w:rsidRDefault="00AF2C5E">
      <w:pPr>
        <w:pStyle w:val="J1"/>
      </w:pPr>
      <w:r w:rsidRPr="00955789">
        <w:t>Do not freeze the reconstituted concentrate.</w:t>
      </w:r>
    </w:p>
    <w:p w14:paraId="589BF993" w14:textId="77777777" w:rsidR="00AF2C5E" w:rsidRPr="00955789" w:rsidRDefault="00BA704F">
      <w:pPr>
        <w:pStyle w:val="Heading3"/>
      </w:pPr>
      <w:r w:rsidRPr="00955789">
        <w:t>Stability</w:t>
      </w:r>
      <w:r w:rsidR="00AF2C5E" w:rsidRPr="00955789">
        <w:t xml:space="preserve"> of ready-to-use Herceptin 440 mg solution for infusion</w:t>
      </w:r>
    </w:p>
    <w:p w14:paraId="72C253D7" w14:textId="77777777" w:rsidR="00AF2C5E" w:rsidRPr="00955789" w:rsidRDefault="00AF2C5E">
      <w:pPr>
        <w:pStyle w:val="J1"/>
      </w:pPr>
      <w:r w:rsidRPr="00955789">
        <w:t>The ready-to-use Herceptin infusion solution (diluted in sodium chloride 0.9%) is physically and chemically stable for up to 24 hours at 2°C to 8°C and thereafter for 24 hours at temperatures up to 30℃.</w:t>
      </w:r>
    </w:p>
    <w:p w14:paraId="24175E56" w14:textId="77777777" w:rsidR="00AF2C5E" w:rsidRPr="00955789" w:rsidRDefault="00AF2C5E">
      <w:pPr>
        <w:pStyle w:val="J1"/>
      </w:pPr>
      <w:r w:rsidRPr="00955789">
        <w:t>For microbiological reasons the Herceptin infusion solution should be used immediately. If not used immediately, the storage time and conditions prior to use are the responsibility of the user. The storage time should not exceed 24 hours at 2°C to 8°C.</w:t>
      </w:r>
    </w:p>
    <w:p w14:paraId="2F8ACD34" w14:textId="77777777" w:rsidR="00AF2C5E" w:rsidRPr="00955789" w:rsidRDefault="00AF2C5E">
      <w:pPr>
        <w:pStyle w:val="Heading3"/>
      </w:pPr>
      <w:r w:rsidRPr="00955789">
        <w:t>Disposal instructions</w:t>
      </w:r>
    </w:p>
    <w:p w14:paraId="7AEF1410" w14:textId="77777777" w:rsidR="00AF2C5E" w:rsidRPr="00955789" w:rsidRDefault="00AF2C5E">
      <w:pPr>
        <w:pStyle w:val="J1"/>
      </w:pPr>
      <w:r w:rsidRPr="00955789">
        <w:t>Any medicinal products unused after the end of treatment or by the expiry date should be returned in their original packaging to the place of supply (physician or pharmacist) for proper disposal.</w:t>
      </w:r>
    </w:p>
    <w:p w14:paraId="40E1914A" w14:textId="77777777" w:rsidR="00AF2C5E" w:rsidRDefault="00AF2C5E">
      <w:pPr>
        <w:pStyle w:val="Heading3"/>
        <w:rPr>
          <w:iCs/>
        </w:rPr>
      </w:pPr>
      <w:r w:rsidRPr="00955789">
        <w:t>Special precautions for storage</w:t>
      </w:r>
    </w:p>
    <w:p w14:paraId="288F97E1" w14:textId="77777777" w:rsidR="00AF2C5E" w:rsidRDefault="00AF2C5E">
      <w:pPr>
        <w:pStyle w:val="J1"/>
      </w:pPr>
      <w:r>
        <w:t>Store in the refrigerator (2-8°C).</w:t>
      </w:r>
    </w:p>
    <w:p w14:paraId="27C25DF8" w14:textId="77777777" w:rsidR="00AF2C5E" w:rsidRDefault="00AF2C5E">
      <w:pPr>
        <w:pStyle w:val="J1"/>
      </w:pPr>
      <w:r>
        <w:t>Keep out of the reach of children.</w:t>
      </w:r>
    </w:p>
    <w:p w14:paraId="669BB4A7" w14:textId="77777777" w:rsidR="00AF2C5E" w:rsidRDefault="00AF2C5E">
      <w:pPr>
        <w:pStyle w:val="Heading3"/>
        <w:rPr>
          <w:iCs/>
        </w:rPr>
      </w:pPr>
      <w:r>
        <w:rPr>
          <w:iCs/>
        </w:rPr>
        <w:lastRenderedPageBreak/>
        <w:t>Instructions for handling</w:t>
      </w:r>
    </w:p>
    <w:p w14:paraId="7E6E6865" w14:textId="77777777" w:rsidR="00AF2C5E" w:rsidRDefault="00AF2C5E">
      <w:pPr>
        <w:pStyle w:val="Heading3a"/>
        <w:rPr>
          <w:iCs w:val="0"/>
        </w:rPr>
      </w:pPr>
      <w:r>
        <w:rPr>
          <w:iCs w:val="0"/>
        </w:rPr>
        <w:t>Instructions for handling Herceptin 150 mg for single-dose use</w:t>
      </w:r>
    </w:p>
    <w:p w14:paraId="6CA7E2F3" w14:textId="77777777" w:rsidR="00AF2C5E" w:rsidRDefault="00AF2C5E">
      <w:pPr>
        <w:pStyle w:val="Heading3a"/>
        <w:rPr>
          <w:iCs w:val="0"/>
        </w:rPr>
      </w:pPr>
      <w:r>
        <w:rPr>
          <w:iCs w:val="0"/>
        </w:rPr>
        <w:t>Preparation for administration:</w:t>
      </w:r>
    </w:p>
    <w:p w14:paraId="7FBA72A5" w14:textId="77777777" w:rsidR="00AF2C5E" w:rsidRDefault="00AF2C5E">
      <w:pPr>
        <w:pStyle w:val="J1"/>
      </w:pPr>
      <w:r>
        <w:t>Each vial of Herceptin is reconstituted with 7.2 ml of sterile water for injection (not supplied). Other reconstitution solvents must not be used. This yields 7.4 ml of solution for single-dose use containing 21 mg/ml trastuzumab at a pH of approximately 6.0.</w:t>
      </w:r>
    </w:p>
    <w:p w14:paraId="2ECD1336" w14:textId="77777777" w:rsidR="00AF2C5E" w:rsidRDefault="00AF2C5E">
      <w:pPr>
        <w:pStyle w:val="J1"/>
      </w:pPr>
      <w:r>
        <w:t>In order to prevent any precipitation and consequent reduction in the amount of dissolved Herceptin, shaking and excessive foaming should be avoided during reconstitution of Herceptin and preparation of diluted solutions for infusion. Rapid expulsion from a syringe should likewise be avoided.</w:t>
      </w:r>
    </w:p>
    <w:p w14:paraId="0C66CE6B" w14:textId="77777777" w:rsidR="00AF2C5E" w:rsidRDefault="00AF2C5E">
      <w:pPr>
        <w:pStyle w:val="Heading3"/>
        <w:rPr>
          <w:iCs/>
        </w:rPr>
      </w:pPr>
      <w:r>
        <w:rPr>
          <w:iCs/>
        </w:rPr>
        <w:t>Instructions for reconstitution:</w:t>
      </w:r>
    </w:p>
    <w:p w14:paraId="5F09A381" w14:textId="77777777" w:rsidR="00AF2C5E" w:rsidRDefault="00AF2C5E">
      <w:pPr>
        <w:pStyle w:val="J1"/>
        <w:numPr>
          <w:ilvl w:val="0"/>
          <w:numId w:val="25"/>
        </w:numPr>
      </w:pPr>
      <w:r>
        <w:t>Using a sterile syringe, slowly inject 7.2 ml of sterile water for injection onto the Herceptin lyophilised powder for concentrate for solution for infusion in the vial.</w:t>
      </w:r>
    </w:p>
    <w:p w14:paraId="0FD27464" w14:textId="77777777" w:rsidR="00AF2C5E" w:rsidRDefault="00AF2C5E">
      <w:pPr>
        <w:pStyle w:val="J1"/>
        <w:numPr>
          <w:ilvl w:val="0"/>
          <w:numId w:val="25"/>
        </w:numPr>
      </w:pPr>
      <w:r>
        <w:t>Rock the vial gently to and fro. DO NOT SHAKE.</w:t>
      </w:r>
    </w:p>
    <w:p w14:paraId="17C7E2B8" w14:textId="77777777" w:rsidR="00AF2C5E" w:rsidRDefault="00AF2C5E">
      <w:pPr>
        <w:pStyle w:val="J1"/>
      </w:pPr>
      <w:r>
        <w:t>Mild foaming during the reconstitution process is not unusual. After reconstitution, allow the vial to stand for about 5 minutes. After this the solution should contain essentially no visible particles.</w:t>
      </w:r>
    </w:p>
    <w:p w14:paraId="6A515DC5" w14:textId="77777777" w:rsidR="00AF2C5E" w:rsidRDefault="00AF2C5E">
      <w:pPr>
        <w:pStyle w:val="J1"/>
      </w:pPr>
      <w:r>
        <w:t>The reconstituted preparation is a colourless to pale yellow transparent solution.</w:t>
      </w:r>
    </w:p>
    <w:p w14:paraId="4E873FDB" w14:textId="77777777" w:rsidR="00AF2C5E" w:rsidRDefault="00AF2C5E">
      <w:pPr>
        <w:pStyle w:val="Heading3"/>
        <w:rPr>
          <w:iCs/>
        </w:rPr>
      </w:pPr>
      <w:r>
        <w:rPr>
          <w:iCs/>
        </w:rPr>
        <w:t>Instructions for handling Herceptin 440 mg for multidose use</w:t>
      </w:r>
    </w:p>
    <w:p w14:paraId="35A9A6FA" w14:textId="77777777" w:rsidR="00AF2C5E" w:rsidRDefault="00AF2C5E">
      <w:pPr>
        <w:pStyle w:val="Heading3a"/>
        <w:rPr>
          <w:iCs w:val="0"/>
        </w:rPr>
      </w:pPr>
      <w:r>
        <w:rPr>
          <w:iCs w:val="0"/>
        </w:rPr>
        <w:t>Preparation for administration:</w:t>
      </w:r>
    </w:p>
    <w:p w14:paraId="4877864F" w14:textId="77777777" w:rsidR="00AF2C5E" w:rsidRDefault="00AF2C5E">
      <w:pPr>
        <w:pStyle w:val="J1"/>
      </w:pPr>
      <w:r>
        <w:t>An appropriate aseptic technique should be used. Each vial of Herceptin is reconstituted with 20 ml of the enclosed bacteriostatic water for injection containing 1.1% benzyl alcohol. This yields a solution for multidose use containing 21 mg/ml trastuzumab at a pH of approximately 6.0. Use of other solvents for reconstitution should be avoided.</w:t>
      </w:r>
    </w:p>
    <w:p w14:paraId="2C685519" w14:textId="77777777" w:rsidR="00AF2C5E" w:rsidRDefault="00AF2C5E">
      <w:pPr>
        <w:pStyle w:val="J1"/>
      </w:pPr>
      <w:r>
        <w:t>To prepare a single dose in patients hypersensitive to benzyl alcohol, water for injection (not supplied) can also be used. Such preparations must be used immediately and any unused portion discarded. Use of other solvents should be avoided.</w:t>
      </w:r>
    </w:p>
    <w:p w14:paraId="3995761A" w14:textId="77777777" w:rsidR="00AF2C5E" w:rsidRDefault="00AF2C5E">
      <w:pPr>
        <w:pStyle w:val="J1"/>
      </w:pPr>
      <w:r>
        <w:t>In order to prevent any precipitation and consequent reduction in the amount of dissolved Herceptin, shaking and excessive foaming should be avoided during reconstitution of Herceptin and preparation of diluted solutions for infusion. Rapid expulsion from a syringe should likewise be avoided.</w:t>
      </w:r>
    </w:p>
    <w:p w14:paraId="35E08B01" w14:textId="77777777" w:rsidR="00AF2C5E" w:rsidRDefault="00AF2C5E">
      <w:pPr>
        <w:pStyle w:val="Heading3"/>
        <w:rPr>
          <w:iCs/>
        </w:rPr>
      </w:pPr>
      <w:r>
        <w:rPr>
          <w:iCs/>
        </w:rPr>
        <w:t>Instructions for reconstitution:</w:t>
      </w:r>
    </w:p>
    <w:p w14:paraId="02416AC0" w14:textId="77777777" w:rsidR="00AF2C5E" w:rsidRDefault="00AF2C5E">
      <w:pPr>
        <w:pStyle w:val="J1"/>
        <w:numPr>
          <w:ilvl w:val="0"/>
          <w:numId w:val="29"/>
        </w:numPr>
      </w:pPr>
      <w:r>
        <w:t>Using a sterile syringe, slowly inject 20 ml of bacteriostatic water onto the Herceptin lyophilised powder for concentrate for solution for infusion in the vial.</w:t>
      </w:r>
    </w:p>
    <w:p w14:paraId="22A902DF" w14:textId="77777777" w:rsidR="00AF2C5E" w:rsidRDefault="00AF2C5E">
      <w:pPr>
        <w:pStyle w:val="J1"/>
        <w:numPr>
          <w:ilvl w:val="0"/>
          <w:numId w:val="29"/>
        </w:numPr>
      </w:pPr>
      <w:r>
        <w:t>Rock the vial gently to and fro. DO NOT SHAKE.</w:t>
      </w:r>
    </w:p>
    <w:p w14:paraId="48DFE48E" w14:textId="77777777" w:rsidR="00AF2C5E" w:rsidRDefault="00AF2C5E">
      <w:pPr>
        <w:pStyle w:val="J1"/>
      </w:pPr>
      <w:r>
        <w:t>Mild foaming during the reconstitution process is not unusual. After reconstitution, allow the vial to stand for about 5 minutes. After this the solution should contain essentially no visible particles.</w:t>
      </w:r>
    </w:p>
    <w:p w14:paraId="504FE743" w14:textId="77777777" w:rsidR="00AF2C5E" w:rsidRDefault="00AF2C5E">
      <w:pPr>
        <w:pStyle w:val="J1"/>
      </w:pPr>
      <w:r>
        <w:t>The reconstituted preparation is a colourless to pale yellow transparent solution.</w:t>
      </w:r>
    </w:p>
    <w:p w14:paraId="2467E0B7" w14:textId="77777777" w:rsidR="00AF2C5E" w:rsidRDefault="00AF2C5E">
      <w:pPr>
        <w:pStyle w:val="Heading3"/>
        <w:rPr>
          <w:iCs/>
        </w:rPr>
      </w:pPr>
      <w:r>
        <w:rPr>
          <w:iCs/>
        </w:rPr>
        <w:t>Instructions for handling Herceptin single-dose and multidose vials</w:t>
      </w:r>
    </w:p>
    <w:p w14:paraId="40248B1F" w14:textId="77777777" w:rsidR="00AF2C5E" w:rsidRDefault="00AF2C5E">
      <w:pPr>
        <w:pStyle w:val="Heading5a"/>
        <w:rPr>
          <w:rFonts w:ascii="Times New Roman" w:hAnsi="Times New Roman" w:cs="Arial"/>
          <w:bCs w:val="0"/>
          <w:iCs w:val="0"/>
          <w:szCs w:val="24"/>
        </w:rPr>
      </w:pPr>
      <w:r>
        <w:rPr>
          <w:rFonts w:ascii="Times New Roman" w:hAnsi="Times New Roman" w:cs="Arial"/>
          <w:bCs w:val="0"/>
          <w:iCs w:val="0"/>
          <w:szCs w:val="24"/>
        </w:rPr>
        <w:t>Dilution of the reconstituted solution</w:t>
      </w:r>
    </w:p>
    <w:p w14:paraId="54F9F868" w14:textId="77777777" w:rsidR="00AF2C5E" w:rsidRDefault="00AF2C5E">
      <w:pPr>
        <w:pStyle w:val="J1"/>
      </w:pPr>
      <w:r>
        <w:t>The volume of reconstituted solution needed for the treatment of a given patient is calculated as follows:</w:t>
      </w:r>
    </w:p>
    <w:p w14:paraId="14BB86F3" w14:textId="77777777" w:rsidR="00AF2C5E" w:rsidRDefault="00AF2C5E">
      <w:pPr>
        <w:pStyle w:val="J1"/>
        <w:numPr>
          <w:ilvl w:val="0"/>
          <w:numId w:val="15"/>
        </w:numPr>
      </w:pPr>
      <w:r>
        <w:t>on the basis of an initial dose of 4 mg/kg body weight trastuzumab or weekly doses of 2 mg/kg body weight trastuzumab:</w:t>
      </w:r>
    </w:p>
    <w:p w14:paraId="7934D198" w14:textId="77777777" w:rsidR="00AF2C5E" w:rsidRDefault="00AF2C5E">
      <w:pPr>
        <w:keepNext/>
        <w:keepLines/>
        <w:spacing w:before="60"/>
        <w:jc w:val="center"/>
        <w:rPr>
          <w:rFonts w:ascii="Times New Roman" w:hAnsi="Times New Roman" w:cs="Arial"/>
          <w:b/>
          <w:sz w:val="17"/>
          <w:szCs w:val="24"/>
          <w:u w:val="single"/>
          <w:lang w:bidi="he-IL"/>
        </w:rPr>
      </w:pPr>
      <w:r>
        <w:rPr>
          <w:rFonts w:ascii="Times New Roman" w:hAnsi="Times New Roman" w:cs="Arial"/>
          <w:b/>
          <w:noProof/>
          <w:sz w:val="17"/>
          <w:szCs w:val="24"/>
          <w:u w:val="single"/>
          <w:lang w:bidi="he-IL"/>
        </w:rPr>
        <w:t>Volume (ml) = body weight (kg) × dose (4 mg/kg initially or 2 mg/kg for subsequent doses)</w:t>
      </w:r>
    </w:p>
    <w:p w14:paraId="7A59B2B2" w14:textId="77777777" w:rsidR="00AF2C5E" w:rsidRDefault="00AF2C5E">
      <w:pPr>
        <w:jc w:val="center"/>
        <w:rPr>
          <w:rFonts w:ascii="Times New Roman" w:hAnsi="Times New Roman" w:cs="Arial"/>
          <w:sz w:val="17"/>
          <w:szCs w:val="24"/>
          <w:lang w:bidi="he-IL"/>
        </w:rPr>
      </w:pPr>
      <w:r>
        <w:rPr>
          <w:rFonts w:ascii="Times New Roman" w:hAnsi="Times New Roman" w:cs="Arial"/>
          <w:b/>
          <w:noProof/>
          <w:sz w:val="17"/>
          <w:szCs w:val="24"/>
          <w:lang w:bidi="he-IL"/>
        </w:rPr>
        <w:t>21</w:t>
      </w:r>
      <w:r>
        <w:rPr>
          <w:rFonts w:ascii="Times New Roman" w:hAnsi="Times New Roman" w:cs="Arial"/>
          <w:noProof/>
          <w:sz w:val="17"/>
          <w:szCs w:val="24"/>
          <w:lang w:bidi="he-IL"/>
        </w:rPr>
        <w:t xml:space="preserve"> (mg/ml, concentration of reconstituted solution)</w:t>
      </w:r>
    </w:p>
    <w:p w14:paraId="5E2947E1" w14:textId="77777777" w:rsidR="00AF2C5E" w:rsidRDefault="00AF2C5E">
      <w:pPr>
        <w:pStyle w:val="J1"/>
        <w:numPr>
          <w:ilvl w:val="0"/>
          <w:numId w:val="15"/>
        </w:numPr>
      </w:pPr>
      <w:r>
        <w:t>on the basis of an initial dose of 8 mg/kg body weight trastuzumab or subsequent three-weekly doses of 6 mg/kg body weight trastuzumab:</w:t>
      </w:r>
    </w:p>
    <w:p w14:paraId="70B76E42" w14:textId="77777777" w:rsidR="00AF2C5E" w:rsidRDefault="00AF2C5E">
      <w:pPr>
        <w:keepNext/>
        <w:keepLines/>
        <w:spacing w:before="60"/>
        <w:ind w:firstLine="360"/>
        <w:jc w:val="center"/>
        <w:rPr>
          <w:rFonts w:ascii="Times New Roman" w:hAnsi="Times New Roman" w:cs="Arial"/>
          <w:b/>
          <w:sz w:val="17"/>
          <w:szCs w:val="24"/>
          <w:u w:val="single"/>
          <w:lang w:bidi="he-IL"/>
        </w:rPr>
      </w:pPr>
      <w:r>
        <w:rPr>
          <w:rFonts w:ascii="Times New Roman" w:hAnsi="Times New Roman" w:cs="Arial"/>
          <w:b/>
          <w:noProof/>
          <w:sz w:val="17"/>
          <w:szCs w:val="24"/>
          <w:u w:val="single"/>
          <w:lang w:bidi="he-IL"/>
        </w:rPr>
        <w:t>Volume (ml) = body weight (kg) × dose (8 mg/kg initially or 6 mg/kg for subsequent doses)</w:t>
      </w:r>
    </w:p>
    <w:p w14:paraId="480DCCEB" w14:textId="77777777" w:rsidR="00AF2C5E" w:rsidRDefault="00AF2C5E">
      <w:pPr>
        <w:jc w:val="center"/>
        <w:rPr>
          <w:rFonts w:ascii="Times New Roman" w:hAnsi="Times New Roman" w:cs="Arial"/>
          <w:sz w:val="17"/>
          <w:szCs w:val="24"/>
          <w:lang w:bidi="he-IL"/>
        </w:rPr>
      </w:pPr>
      <w:r>
        <w:rPr>
          <w:rFonts w:ascii="Times New Roman" w:hAnsi="Times New Roman" w:cs="Arial"/>
          <w:b/>
          <w:noProof/>
          <w:sz w:val="17"/>
          <w:szCs w:val="24"/>
          <w:lang w:bidi="he-IL"/>
        </w:rPr>
        <w:t>21</w:t>
      </w:r>
      <w:r>
        <w:rPr>
          <w:rFonts w:ascii="Times New Roman" w:hAnsi="Times New Roman" w:cs="Arial"/>
          <w:noProof/>
          <w:sz w:val="17"/>
          <w:szCs w:val="24"/>
          <w:lang w:bidi="he-IL"/>
        </w:rPr>
        <w:t xml:space="preserve"> (mg/ml, concentration of reconstituted solution)</w:t>
      </w:r>
    </w:p>
    <w:p w14:paraId="547B1F6C" w14:textId="36C2A71D" w:rsidR="00AF2C5E" w:rsidRDefault="00AF2C5E">
      <w:pPr>
        <w:pStyle w:val="J1"/>
      </w:pPr>
      <w:r>
        <w:lastRenderedPageBreak/>
        <w:t>The appropriate volume of reconstituted solution should be withdrawn from the vial (either a 150</w:t>
      </w:r>
      <w:r w:rsidR="0000332D">
        <w:t> </w:t>
      </w:r>
      <w:r>
        <w:t>mg single-dose container or a 440</w:t>
      </w:r>
      <w:r w:rsidR="0000332D">
        <w:t> </w:t>
      </w:r>
      <w:r>
        <w:t xml:space="preserve">mg multidose container) </w:t>
      </w:r>
      <w:r w:rsidR="001F28A4">
        <w:t xml:space="preserve">using a sterile needle and syringe </w:t>
      </w:r>
      <w:r>
        <w:t>and added to an infusion bag containing 250 ml of sodium chloride 0.9%. Do not use glucose (5%) solution (see “Incompatibilities”). The bag should be gently rotated to mix the solution without causing foaming.</w:t>
      </w:r>
    </w:p>
    <w:p w14:paraId="12715A17" w14:textId="77777777" w:rsidR="00AF2C5E" w:rsidRDefault="00AF2C5E">
      <w:pPr>
        <w:pStyle w:val="J1"/>
      </w:pPr>
      <w:r>
        <w:t>Care must be taken to ensure the sterility of the solutions when preparing the concentrate and ready-to-use solution for infusion.</w:t>
      </w:r>
    </w:p>
    <w:p w14:paraId="2199CE64" w14:textId="77777777" w:rsidR="00AF2C5E" w:rsidRDefault="00AF2C5E">
      <w:pPr>
        <w:pStyle w:val="J1"/>
      </w:pPr>
      <w:r>
        <w:t>Parenteral drug products should be inspected visually for particulates and discoloration prior to administration.</w:t>
      </w:r>
    </w:p>
    <w:p w14:paraId="248FA859" w14:textId="77777777" w:rsidR="00AF2C5E" w:rsidRDefault="00AF2C5E">
      <w:pPr>
        <w:pStyle w:val="J1"/>
      </w:pPr>
      <w:r>
        <w:t>The infusion should be used immediately after preparation. If diluted under aseptic conditions, it can be stored for 24 hours refrigerated at 2-8°C.</w:t>
      </w:r>
    </w:p>
    <w:p w14:paraId="363A25E4" w14:textId="77777777" w:rsidR="00AF2C5E" w:rsidRDefault="00AF2C5E">
      <w:pPr>
        <w:pStyle w:val="Heading1"/>
      </w:pPr>
      <w:r>
        <w:t>Packs</w:t>
      </w:r>
    </w:p>
    <w:p w14:paraId="6FCC6136" w14:textId="77777777" w:rsidR="00AF2C5E" w:rsidRDefault="00AF2C5E">
      <w:pPr>
        <w:pStyle w:val="Heading3a"/>
        <w:rPr>
          <w:iCs w:val="0"/>
        </w:rPr>
      </w:pPr>
      <w:r>
        <w:rPr>
          <w:iCs w:val="0"/>
        </w:rPr>
        <w:t>150 mg single-dose vials:</w:t>
      </w:r>
    </w:p>
    <w:p w14:paraId="0EBA361A" w14:textId="77777777" w:rsidR="00AF2C5E" w:rsidRDefault="00AF2C5E">
      <w:pPr>
        <w:pStyle w:val="J1"/>
        <w:tabs>
          <w:tab w:val="right" w:pos="3600"/>
          <w:tab w:val="left" w:pos="3960"/>
        </w:tabs>
      </w:pPr>
      <w:r>
        <w:t>1 vial containing Herceptin (trastuzumab)</w:t>
      </w:r>
    </w:p>
    <w:p w14:paraId="18BA4310" w14:textId="77777777" w:rsidR="00AF2C5E" w:rsidRDefault="00AF2C5E">
      <w:pPr>
        <w:pStyle w:val="Heading3"/>
        <w:rPr>
          <w:iCs/>
        </w:rPr>
      </w:pPr>
      <w:r>
        <w:rPr>
          <w:iCs/>
        </w:rPr>
        <w:t>440 mg multiple-dose vials:</w:t>
      </w:r>
    </w:p>
    <w:p w14:paraId="1938EA76" w14:textId="0B9F0213" w:rsidR="00AF2C5E" w:rsidRDefault="00AF2C5E" w:rsidP="004E4756">
      <w:pPr>
        <w:pStyle w:val="J1"/>
        <w:tabs>
          <w:tab w:val="right" w:pos="3600"/>
          <w:tab w:val="left" w:pos="3960"/>
        </w:tabs>
      </w:pPr>
      <w:r>
        <w:t xml:space="preserve">Pack containing 1 vial of Herceptin (trastuzumab) and 1 vial with 20 ml of solvent </w:t>
      </w:r>
    </w:p>
    <w:p w14:paraId="61BC6325" w14:textId="7D248D4E" w:rsidR="00AF2C5E" w:rsidRPr="004E4756" w:rsidRDefault="00AF2C5E" w:rsidP="004E4756">
      <w:pPr>
        <w:pStyle w:val="J1"/>
        <w:tabs>
          <w:tab w:val="right" w:pos="3600"/>
          <w:tab w:val="left" w:pos="3960"/>
        </w:tabs>
      </w:pPr>
      <w:r>
        <w:t>Not all presentations might be marketed in your country.</w:t>
      </w:r>
    </w:p>
    <w:p w14:paraId="13347456" w14:textId="77777777" w:rsidR="00AF2C5E" w:rsidRDefault="00AF2C5E">
      <w:pPr>
        <w:pStyle w:val="TextTi12"/>
        <w:rPr>
          <w:rFonts w:ascii="Times New Roman" w:hAnsi="Times New Roman"/>
        </w:rPr>
      </w:pPr>
      <w:r>
        <w:rPr>
          <w:rFonts w:ascii="Times New Roman" w:hAnsi="Times New Roman"/>
          <w:b/>
        </w:rPr>
        <w:t>This is a medicament</w:t>
      </w:r>
    </w:p>
    <w:p w14:paraId="5E5FBE50" w14:textId="77777777" w:rsidR="00AF2C5E" w:rsidRDefault="00AF2C5E">
      <w:pPr>
        <w:pStyle w:val="TextTi12"/>
        <w:rPr>
          <w:rFonts w:ascii="Times New Roman" w:hAnsi="Times New Roman"/>
        </w:rPr>
      </w:pPr>
      <w:r>
        <w:rPr>
          <w:rFonts w:ascii="Times New Roman" w:hAnsi="Times New Roman"/>
        </w:rPr>
        <w:t>A medicament is a product which affects your health, and its consumption contrary to instructions is dangerous for you.</w:t>
      </w:r>
    </w:p>
    <w:p w14:paraId="1A14F050" w14:textId="77777777" w:rsidR="00AF2C5E" w:rsidRDefault="00AF2C5E">
      <w:pPr>
        <w:pStyle w:val="TextTi12"/>
        <w:rPr>
          <w:rFonts w:ascii="Times New Roman" w:hAnsi="Times New Roman"/>
        </w:rPr>
      </w:pPr>
      <w:r>
        <w:rPr>
          <w:rFonts w:ascii="Times New Roman" w:hAnsi="Times New Roman"/>
        </w:rPr>
        <w:t>Follow strictly the doctor’s prescription, the method of use and the instructions of the pharmacist who sold the medicament.</w:t>
      </w:r>
    </w:p>
    <w:p w14:paraId="3053DA18" w14:textId="77777777" w:rsidR="00AF2C5E" w:rsidRDefault="00AF2C5E">
      <w:pPr>
        <w:pStyle w:val="TextTi12"/>
        <w:rPr>
          <w:rFonts w:ascii="Times New Roman" w:hAnsi="Times New Roman"/>
        </w:rPr>
      </w:pPr>
      <w:r>
        <w:rPr>
          <w:rFonts w:ascii="Times New Roman" w:hAnsi="Times New Roman"/>
        </w:rPr>
        <w:t>The doctor and the pharmacist are experts in medicine, its benefits and risks.</w:t>
      </w:r>
    </w:p>
    <w:p w14:paraId="1BE2AAEE" w14:textId="77777777" w:rsidR="00AF2C5E" w:rsidRDefault="00AF2C5E">
      <w:pPr>
        <w:pStyle w:val="TextTi12"/>
        <w:rPr>
          <w:rFonts w:ascii="Times New Roman" w:hAnsi="Times New Roman"/>
        </w:rPr>
      </w:pPr>
      <w:r>
        <w:rPr>
          <w:rFonts w:ascii="Times New Roman" w:hAnsi="Times New Roman"/>
        </w:rPr>
        <w:t>Do not by yourself interrupt the period of treatment prescribed for you.</w:t>
      </w:r>
    </w:p>
    <w:p w14:paraId="61C428A0" w14:textId="77777777" w:rsidR="00AF2C5E" w:rsidRDefault="00AF2C5E">
      <w:pPr>
        <w:pStyle w:val="TextTi12"/>
        <w:rPr>
          <w:rFonts w:ascii="Times New Roman" w:hAnsi="Times New Roman"/>
        </w:rPr>
      </w:pPr>
      <w:r>
        <w:rPr>
          <w:rFonts w:ascii="Times New Roman" w:hAnsi="Times New Roman"/>
        </w:rPr>
        <w:t>Do not repeat the same prescription without consulting your doctor.</w:t>
      </w:r>
    </w:p>
    <w:p w14:paraId="3D577CDC" w14:textId="77777777" w:rsidR="00AF2C5E" w:rsidRDefault="00AF2C5E">
      <w:pPr>
        <w:pStyle w:val="TextTi12"/>
        <w:pBdr>
          <w:top w:val="single" w:sz="2" w:space="1" w:color="000000"/>
          <w:left w:val="single" w:sz="2" w:space="4" w:color="000000"/>
          <w:bottom w:val="single" w:sz="2" w:space="1" w:color="000000"/>
          <w:right w:val="single" w:sz="2" w:space="4" w:color="000000"/>
        </w:pBdr>
        <w:jc w:val="center"/>
        <w:rPr>
          <w:rFonts w:ascii="Times New Roman" w:hAnsi="Times New Roman"/>
        </w:rPr>
      </w:pPr>
      <w:r>
        <w:rPr>
          <w:rFonts w:ascii="Times New Roman" w:hAnsi="Times New Roman"/>
        </w:rPr>
        <w:t>Medicine: keep out of reach of children</w:t>
      </w:r>
    </w:p>
    <w:p w14:paraId="605DCBA0" w14:textId="77777777" w:rsidR="00AF2C5E" w:rsidRDefault="00AF2C5E">
      <w:pPr>
        <w:pStyle w:val="TextTi12"/>
        <w:ind w:firstLine="720"/>
        <w:jc w:val="right"/>
        <w:rPr>
          <w:rFonts w:ascii="Times New Roman" w:hAnsi="Times New Roman"/>
        </w:rPr>
      </w:pPr>
      <w:r>
        <w:rPr>
          <w:rFonts w:ascii="Times New Roman" w:hAnsi="Times New Roman"/>
        </w:rPr>
        <w:t>Council of Arab Health Ministers</w:t>
      </w:r>
    </w:p>
    <w:p w14:paraId="0959B2D0" w14:textId="77777777" w:rsidR="00AF2C5E" w:rsidRDefault="00AF2C5E">
      <w:pPr>
        <w:pStyle w:val="TextTi12"/>
        <w:jc w:val="right"/>
        <w:rPr>
          <w:rFonts w:ascii="Times New Roman" w:hAnsi="Times New Roman"/>
        </w:rPr>
      </w:pPr>
      <w:r>
        <w:rPr>
          <w:rFonts w:ascii="Times New Roman" w:hAnsi="Times New Roman"/>
        </w:rPr>
        <w:t>Union of Arab Pharmacists</w:t>
      </w:r>
    </w:p>
    <w:p w14:paraId="2F04389A" w14:textId="6491C4A5" w:rsidR="00AF2C5E" w:rsidRDefault="00AF2C5E" w:rsidP="008D25E1">
      <w:pPr>
        <w:pStyle w:val="J1"/>
      </w:pPr>
      <w:r>
        <w:t xml:space="preserve">Current at </w:t>
      </w:r>
      <w:r w:rsidR="001F28A4">
        <w:t>March 2021</w:t>
      </w:r>
      <w:r>
        <w:t>.</w:t>
      </w:r>
    </w:p>
    <w:p w14:paraId="4FFC372C" w14:textId="77777777" w:rsidR="00AF2C5E" w:rsidRDefault="00AF2C5E">
      <w:pPr>
        <w:pStyle w:val="TextTi12"/>
        <w:rPr>
          <w:rFonts w:ascii="Times New Roman" w:hAnsi="Times New Roman"/>
        </w:rPr>
      </w:pPr>
      <w:r>
        <w:rPr>
          <w:rFonts w:ascii="Times New Roman" w:hAnsi="Times New Roman"/>
        </w:rPr>
        <w:t>150 mg vials:</w:t>
      </w:r>
    </w:p>
    <w:p w14:paraId="19DD7AEA" w14:textId="77777777" w:rsidR="00AF2C5E" w:rsidRDefault="00AF2C5E">
      <w:pPr>
        <w:pStyle w:val="TextTi12"/>
        <w:rPr>
          <w:rFonts w:ascii="Times New Roman" w:hAnsi="Times New Roman"/>
        </w:rPr>
      </w:pPr>
      <w:r>
        <w:rPr>
          <w:rFonts w:ascii="Times New Roman" w:hAnsi="Times New Roman"/>
        </w:rPr>
        <w:t>Made in Switzerland by F. Hoffmann-La Roche Ltd, Basel</w:t>
      </w:r>
    </w:p>
    <w:p w14:paraId="60C11402" w14:textId="77777777" w:rsidR="00AF2C5E" w:rsidRDefault="00AF2C5E">
      <w:pPr>
        <w:pStyle w:val="TextTi12"/>
        <w:spacing w:after="0"/>
        <w:rPr>
          <w:rFonts w:ascii="Times New Roman" w:hAnsi="Times New Roman"/>
        </w:rPr>
      </w:pPr>
      <w:r>
        <w:rPr>
          <w:rFonts w:ascii="Times New Roman" w:hAnsi="Times New Roman"/>
        </w:rPr>
        <w:t>Made for F. Hoffmann-La Roche Ltd, Basel by</w:t>
      </w:r>
    </w:p>
    <w:p w14:paraId="6A2988FC" w14:textId="77777777" w:rsidR="00AF2C5E" w:rsidRDefault="00AF2C5E">
      <w:pPr>
        <w:pStyle w:val="TextTi12"/>
        <w:numPr>
          <w:ilvl w:val="0"/>
          <w:numId w:val="30"/>
        </w:numPr>
        <w:spacing w:after="0"/>
        <w:rPr>
          <w:rFonts w:ascii="Times New Roman" w:hAnsi="Times New Roman"/>
        </w:rPr>
      </w:pPr>
      <w:r>
        <w:rPr>
          <w:rFonts w:ascii="Times New Roman" w:hAnsi="Times New Roman"/>
        </w:rPr>
        <w:t>Roche Diagnostics GmbH, Mannheim, Germany</w:t>
      </w:r>
    </w:p>
    <w:p w14:paraId="567919D7" w14:textId="77777777" w:rsidR="00AF2C5E" w:rsidRDefault="00AF2C5E">
      <w:pPr>
        <w:pStyle w:val="TextTi12"/>
        <w:rPr>
          <w:rFonts w:ascii="Times New Roman" w:hAnsi="Times New Roman"/>
        </w:rPr>
      </w:pPr>
    </w:p>
    <w:p w14:paraId="7EE13554" w14:textId="77777777" w:rsidR="00AF2C5E" w:rsidRDefault="00AF2C5E">
      <w:pPr>
        <w:pStyle w:val="TextTi12"/>
        <w:rPr>
          <w:rFonts w:ascii="Times New Roman" w:hAnsi="Times New Roman"/>
        </w:rPr>
      </w:pPr>
      <w:r>
        <w:rPr>
          <w:rFonts w:ascii="Times New Roman" w:hAnsi="Times New Roman"/>
        </w:rPr>
        <w:t>440 mg vials:</w:t>
      </w:r>
    </w:p>
    <w:p w14:paraId="20C7CAC2" w14:textId="77777777" w:rsidR="00AF2C5E" w:rsidRDefault="00AF2C5E">
      <w:pPr>
        <w:pStyle w:val="TextTi12"/>
        <w:spacing w:after="0"/>
        <w:rPr>
          <w:rFonts w:ascii="Times New Roman" w:hAnsi="Times New Roman"/>
        </w:rPr>
      </w:pPr>
      <w:r>
        <w:rPr>
          <w:rFonts w:ascii="Times New Roman" w:hAnsi="Times New Roman"/>
        </w:rPr>
        <w:t xml:space="preserve">Made for F. Hoffmann-La Roche Ltd, Basel, Switzerland by </w:t>
      </w:r>
    </w:p>
    <w:p w14:paraId="2BBA360A" w14:textId="77777777" w:rsidR="00AF2C5E" w:rsidRDefault="00AF2C5E">
      <w:pPr>
        <w:pStyle w:val="TextTi12"/>
        <w:numPr>
          <w:ilvl w:val="0"/>
          <w:numId w:val="30"/>
        </w:numPr>
        <w:spacing w:after="0"/>
        <w:rPr>
          <w:rFonts w:ascii="Times New Roman" w:hAnsi="Times New Roman"/>
        </w:rPr>
      </w:pPr>
      <w:r>
        <w:rPr>
          <w:rFonts w:ascii="Times New Roman" w:hAnsi="Times New Roman"/>
        </w:rPr>
        <w:t>Genentech Inc., South San Francisco, California, USA</w:t>
      </w:r>
    </w:p>
    <w:p w14:paraId="21B7F500" w14:textId="77777777" w:rsidR="00AF2C5E" w:rsidRDefault="00AF2C5E">
      <w:pPr>
        <w:pStyle w:val="TextTi12"/>
        <w:numPr>
          <w:ilvl w:val="0"/>
          <w:numId w:val="30"/>
        </w:numPr>
        <w:spacing w:after="0"/>
        <w:rPr>
          <w:rFonts w:ascii="Times New Roman" w:hAnsi="Times New Roman"/>
        </w:rPr>
      </w:pPr>
      <w:r>
        <w:rPr>
          <w:rFonts w:ascii="Times New Roman" w:hAnsi="Times New Roman"/>
        </w:rPr>
        <w:t>Genentech Inc., Hillsboro, Oregon, USA</w:t>
      </w:r>
    </w:p>
    <w:p w14:paraId="293ED2E6" w14:textId="77777777" w:rsidR="00AF2C5E" w:rsidRDefault="00AF2C5E">
      <w:pPr>
        <w:pStyle w:val="RH"/>
        <w:rPr>
          <w:rFonts w:ascii="Times New Roman" w:hAnsi="Times New Roman"/>
          <w:color w:val="0000FF"/>
        </w:rPr>
      </w:pPr>
    </w:p>
    <w:p w14:paraId="70004245" w14:textId="01F2283B" w:rsidR="00AF2C5E" w:rsidRPr="004E4756" w:rsidRDefault="00AF2C5E" w:rsidP="004E4756">
      <w:pPr>
        <w:shd w:val="clear" w:color="auto" w:fill="FFFFFF"/>
        <w:rPr>
          <w:rFonts w:ascii="Times New Roman" w:hAnsi="Times New Roman"/>
        </w:rPr>
      </w:pPr>
      <w:r>
        <w:rPr>
          <w:rFonts w:ascii="Times" w:hAnsi="Times"/>
          <w:i/>
          <w:color w:val="000000"/>
          <w:sz w:val="24"/>
        </w:rPr>
        <w:t xml:space="preserve">The manufacturing site locally registered, and from which the product is imported, is stated on the outer box. </w:t>
      </w:r>
      <w:bookmarkStart w:id="2" w:name="_GoBack"/>
      <w:bookmarkEnd w:id="2"/>
    </w:p>
    <w:sectPr w:rsidR="00AF2C5E" w:rsidRPr="004E4756" w:rsidSect="00B53198">
      <w:headerReference w:type="default" r:id="rId11"/>
      <w:footerReference w:type="default" r:id="rId12"/>
      <w:endnotePr>
        <w:numFmt w:val="decimal"/>
      </w:endnotePr>
      <w:pgSz w:w="11906" w:h="16838"/>
      <w:pgMar w:top="1296"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WL/601" w:date="2021-06-10T14:23:00Z" w:initials="DWL">
    <w:p w14:paraId="358506C0" w14:textId="39283285" w:rsidR="0000332D" w:rsidRDefault="0000332D">
      <w:pPr>
        <w:pStyle w:val="CommentText"/>
      </w:pPr>
      <w:r>
        <w:rPr>
          <w:rStyle w:val="CommentReference"/>
        </w:rPr>
        <w:annotationRef/>
      </w:r>
      <w:r>
        <w:t>This paragraph is not present in the French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8506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9EE5" w16cex:dateUtc="2021-06-10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8506C0" w16cid:durableId="246C9EE5"/>
  <w16cid:commentId w16cid:paraId="54FB444E" w16cid:durableId="246C8084"/>
  <w16cid:commentId w16cid:paraId="46784C43" w16cid:durableId="246C80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46402" w14:textId="77777777" w:rsidR="00124E42" w:rsidRDefault="00124E42">
      <w:pPr>
        <w:rPr>
          <w:rFonts w:ascii="Times New Roman" w:hAnsi="Times New Roman" w:cs="Arial"/>
          <w:szCs w:val="24"/>
          <w:lang w:bidi="he-IL"/>
        </w:rPr>
      </w:pPr>
      <w:r>
        <w:rPr>
          <w:rFonts w:ascii="Times New Roman" w:hAnsi="Times New Roman" w:cs="Arial"/>
          <w:szCs w:val="24"/>
          <w:lang w:bidi="he-IL"/>
        </w:rPr>
        <w:separator/>
      </w:r>
    </w:p>
  </w:endnote>
  <w:endnote w:type="continuationSeparator" w:id="0">
    <w:p w14:paraId="0F642AF8" w14:textId="77777777" w:rsidR="00124E42" w:rsidRDefault="00124E42">
      <w:pPr>
        <w:rPr>
          <w:rFonts w:ascii="Times New Roman" w:hAnsi="Times New Roman" w:cs="Arial"/>
          <w:szCs w:val="24"/>
          <w:lang w:bidi="he-IL"/>
        </w:rPr>
      </w:pPr>
      <w:r>
        <w:rPr>
          <w:rFonts w:ascii="Times New Roman" w:hAnsi="Times New Roman" w:cs="Arial"/>
          <w:szCs w:val="24"/>
          <w:lang w:bidi="he-IL"/>
        </w:rPr>
        <w:continuationSeparator/>
      </w:r>
    </w:p>
  </w:endnote>
  <w:endnote w:type="continuationNotice" w:id="1">
    <w:p w14:paraId="41FCD27A" w14:textId="77777777" w:rsidR="00124E42" w:rsidRDefault="00124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4269" w14:textId="308EB8E2" w:rsidR="00955789" w:rsidRDefault="00B03423">
    <w:pPr>
      <w:pBdr>
        <w:top w:val="single" w:sz="4" w:space="3" w:color="000000"/>
        <w:bottom w:val="single" w:sz="4" w:space="3" w:color="000000"/>
      </w:pBdr>
      <w:spacing w:before="40" w:after="40"/>
      <w:jc w:val="center"/>
      <w:rPr>
        <w:rFonts w:ascii="Times New Roman" w:hAnsi="Times New Roman" w:cs="Arial"/>
        <w:b/>
        <w:noProof/>
        <w:sz w:val="18"/>
        <w:szCs w:val="24"/>
        <w:lang w:bidi="he-IL"/>
      </w:rPr>
    </w:pPr>
    <w:r>
      <w:rPr>
        <w:rFonts w:ascii="Times New Roman" w:hAnsi="Times New Roman" w:cs="Arial"/>
        <w:noProof/>
        <w:sz w:val="18"/>
        <w:szCs w:val="24"/>
        <w:lang w:bidi="he-IL"/>
      </w:rPr>
      <w:t>March  2021</w:t>
    </w:r>
    <w:r w:rsidR="00955789">
      <w:rPr>
        <w:rFonts w:ascii="Times New Roman" w:hAnsi="Times New Roman" w:cs="Arial"/>
        <w:noProof/>
        <w:sz w:val="18"/>
        <w:szCs w:val="24"/>
        <w:lang w:bidi="he-IL"/>
      </w:rPr>
      <w:t xml:space="preserve">                                                              </w:t>
    </w:r>
    <w:r w:rsidR="00702EC1">
      <w:rPr>
        <w:rFonts w:ascii="Times New Roman" w:hAnsi="Times New Roman"/>
        <w:sz w:val="16"/>
      </w:rPr>
      <w:fldChar w:fldCharType="begin"/>
    </w:r>
    <w:r w:rsidR="00955789">
      <w:rPr>
        <w:rFonts w:ascii="Times New Roman" w:hAnsi="Times New Roman"/>
        <w:sz w:val="16"/>
      </w:rPr>
      <w:instrText>page</w:instrText>
    </w:r>
    <w:r w:rsidR="00702EC1">
      <w:rPr>
        <w:rFonts w:ascii="Times New Roman" w:hAnsi="Times New Roman"/>
        <w:sz w:val="16"/>
      </w:rPr>
      <w:fldChar w:fldCharType="separate"/>
    </w:r>
    <w:r w:rsidR="004D3D59">
      <w:rPr>
        <w:rFonts w:ascii="Times New Roman" w:hAnsi="Times New Roman"/>
        <w:noProof/>
        <w:sz w:val="16"/>
      </w:rPr>
      <w:t>24</w:t>
    </w:r>
    <w:r w:rsidR="00702EC1">
      <w:rPr>
        <w:rFonts w:ascii="Times New Roman" w:hAnsi="Times New Roman"/>
        <w:sz w:val="16"/>
      </w:rPr>
      <w:fldChar w:fldCharType="end"/>
    </w:r>
    <w:r w:rsidR="00955789">
      <w:rPr>
        <w:rFonts w:ascii="Times New Roman" w:hAnsi="Times New Roman"/>
        <w:sz w:val="16"/>
      </w:rPr>
      <w:t xml:space="preserve"> / </w:t>
    </w:r>
    <w:r w:rsidR="00702EC1">
      <w:rPr>
        <w:rFonts w:ascii="Times New Roman" w:hAnsi="Times New Roman"/>
        <w:sz w:val="16"/>
      </w:rPr>
      <w:fldChar w:fldCharType="begin"/>
    </w:r>
    <w:r w:rsidR="00955789">
      <w:rPr>
        <w:rFonts w:ascii="Times New Roman" w:hAnsi="Times New Roman"/>
        <w:sz w:val="16"/>
      </w:rPr>
      <w:instrText>numpages</w:instrText>
    </w:r>
    <w:r w:rsidR="00702EC1">
      <w:rPr>
        <w:rFonts w:ascii="Times New Roman" w:hAnsi="Times New Roman"/>
        <w:sz w:val="16"/>
      </w:rPr>
      <w:fldChar w:fldCharType="separate"/>
    </w:r>
    <w:r w:rsidR="004D3D59">
      <w:rPr>
        <w:rFonts w:ascii="Times New Roman" w:hAnsi="Times New Roman"/>
        <w:noProof/>
        <w:sz w:val="16"/>
      </w:rPr>
      <w:t>25</w:t>
    </w:r>
    <w:r w:rsidR="00702EC1">
      <w:rPr>
        <w:rFonts w:ascii="Times New Roman" w:hAnsi="Times New Roman"/>
        <w:sz w:val="16"/>
      </w:rPr>
      <w:fldChar w:fldCharType="end"/>
    </w:r>
    <w:r w:rsidR="00955789">
      <w:rPr>
        <w:rFonts w:ascii="Times New Roman" w:hAnsi="Times New Roman" w:cs="Arial"/>
        <w:noProof/>
        <w:sz w:val="18"/>
        <w:szCs w:val="24"/>
        <w:lang w:bidi="he-IL"/>
      </w:rPr>
      <w:tab/>
      <w:t xml:space="preserve"> </w:t>
    </w:r>
    <w:r w:rsidR="00955789">
      <w:rPr>
        <w:rFonts w:ascii="Times New Roman" w:hAnsi="Times New Roman" w:cs="Arial"/>
        <w:noProof/>
        <w:sz w:val="18"/>
        <w:szCs w:val="24"/>
        <w:lang w:bidi="he-IL"/>
      </w:rPr>
      <w:tab/>
      <w:t xml:space="preserve"> Product Information GCC / 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75A9" w14:textId="77777777" w:rsidR="00124E42" w:rsidRDefault="00124E42">
      <w:pPr>
        <w:rPr>
          <w:rFonts w:ascii="Times New Roman" w:hAnsi="Times New Roman" w:cs="Arial"/>
          <w:szCs w:val="24"/>
          <w:lang w:bidi="he-IL"/>
        </w:rPr>
      </w:pPr>
      <w:r>
        <w:rPr>
          <w:rFonts w:ascii="Times New Roman" w:hAnsi="Times New Roman" w:cs="Arial"/>
          <w:szCs w:val="24"/>
          <w:lang w:bidi="he-IL"/>
        </w:rPr>
        <w:separator/>
      </w:r>
    </w:p>
  </w:footnote>
  <w:footnote w:type="continuationSeparator" w:id="0">
    <w:p w14:paraId="2F2FD07B" w14:textId="77777777" w:rsidR="00124E42" w:rsidRDefault="00124E42">
      <w:pPr>
        <w:rPr>
          <w:rFonts w:ascii="Times New Roman" w:hAnsi="Times New Roman" w:cs="Arial"/>
          <w:szCs w:val="24"/>
          <w:lang w:bidi="he-IL"/>
        </w:rPr>
      </w:pPr>
      <w:r>
        <w:rPr>
          <w:rFonts w:ascii="Times New Roman" w:hAnsi="Times New Roman" w:cs="Arial"/>
          <w:szCs w:val="24"/>
          <w:lang w:bidi="he-IL"/>
        </w:rPr>
        <w:continuationSeparator/>
      </w:r>
    </w:p>
  </w:footnote>
  <w:footnote w:type="continuationNotice" w:id="1">
    <w:p w14:paraId="20F10951" w14:textId="77777777" w:rsidR="00124E42" w:rsidRDefault="00124E42"/>
  </w:footnote>
  <w:footnote w:id="2">
    <w:p w14:paraId="05D9693C" w14:textId="77777777" w:rsidR="00955789" w:rsidRDefault="00955789">
      <w:pPr>
        <w:pStyle w:val="FootnoteText"/>
        <w:rPr>
          <w:rFonts w:ascii="Times New Roman" w:hAnsi="Times New Roman" w:cs="Arial"/>
          <w:szCs w:val="24"/>
          <w:lang w:bidi="he-IL"/>
        </w:rPr>
      </w:pPr>
      <w:r>
        <w:rPr>
          <w:rStyle w:val="FootnoteReference"/>
          <w:rFonts w:ascii="Times New Roman" w:hAnsi="Times New Roman" w:cs="Arial"/>
          <w:szCs w:val="24"/>
          <w:lang w:bidi="he-IL"/>
        </w:rPr>
        <w:footnoteRef/>
      </w:r>
      <w:r>
        <w:rPr>
          <w:rFonts w:ascii="Times New Roman" w:hAnsi="Times New Roman" w:cs="Arial"/>
          <w:szCs w:val="24"/>
          <w:lang w:bidi="he-IL"/>
        </w:rPr>
        <w:tab/>
      </w:r>
      <w:r>
        <w:rPr>
          <w:rFonts w:ascii="Times New Roman" w:hAnsi="Times New Roman" w:cs="Arial"/>
          <w:noProof/>
          <w:szCs w:val="24"/>
          <w:lang w:bidi="he-IL"/>
        </w:rPr>
        <w:t>Module 5.4 Reference, Drug Safety Report RDR No 1094725, page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F9BA" w14:textId="4731E839" w:rsidR="00955789" w:rsidRDefault="00B03423">
    <w:pPr>
      <w:pStyle w:val="Header"/>
      <w:rPr>
        <w:rFonts w:ascii="Times New Roman" w:hAnsi="Times New Roman" w:cs="Arial"/>
        <w:b/>
        <w:sz w:val="18"/>
        <w:szCs w:val="24"/>
        <w:lang w:bidi="he-IL"/>
      </w:rPr>
    </w:pPr>
    <w:r>
      <w:rPr>
        <w:rFonts w:ascii="Times New Roman" w:hAnsi="Times New Roman" w:cs="Arial"/>
        <w:noProof/>
        <w:sz w:val="18"/>
        <w:szCs w:val="24"/>
        <w:lang w:bidi="he-IL"/>
      </w:rPr>
      <w:t>March 2021</w:t>
    </w:r>
    <w:r w:rsidR="00955789">
      <w:rPr>
        <w:rFonts w:ascii="Times New Roman" w:hAnsi="Times New Roman" w:cs="Arial"/>
        <w:sz w:val="18"/>
        <w:szCs w:val="24"/>
        <w:lang w:bidi="he-IL"/>
      </w:rPr>
      <w:tab/>
    </w:r>
    <w:r w:rsidR="00955789">
      <w:rPr>
        <w:rFonts w:ascii="Times New Roman" w:hAnsi="Times New Roman" w:cs="Arial"/>
        <w:sz w:val="18"/>
        <w:szCs w:val="24"/>
        <w:lang w:bidi="he-IL"/>
      </w:rPr>
      <w:tab/>
    </w:r>
    <w:r w:rsidR="00955789">
      <w:rPr>
        <w:rFonts w:ascii="Times New Roman" w:hAnsi="Times New Roman" w:cs="Arial"/>
        <w:noProof/>
        <w:sz w:val="18"/>
        <w:szCs w:val="24"/>
        <w:lang w:bidi="he-IL"/>
      </w:rPr>
      <w:t>Product Information GCC / English</w:t>
    </w:r>
  </w:p>
  <w:p w14:paraId="37121190" w14:textId="77781C73" w:rsidR="00955789" w:rsidRDefault="00955789">
    <w:pPr>
      <w:pStyle w:val="Header"/>
      <w:pBdr>
        <w:bottom w:val="single" w:sz="4" w:space="1" w:color="auto"/>
      </w:pBdr>
      <w:tabs>
        <w:tab w:val="right" w:pos="8505"/>
      </w:tabs>
      <w:rPr>
        <w:rFonts w:ascii="Times New Roman" w:hAnsi="Times New Roman"/>
      </w:rPr>
    </w:pPr>
    <w:r>
      <w:rPr>
        <w:rFonts w:ascii="Times New Roman" w:hAnsi="Times New Roman" w:cs="Arial"/>
        <w:noProof/>
        <w:sz w:val="18"/>
        <w:szCs w:val="24"/>
        <w:lang w:bidi="he-IL"/>
      </w:rPr>
      <w:t>Ro 45-2317</w:t>
    </w:r>
    <w:r>
      <w:rPr>
        <w:rFonts w:ascii="Times New Roman" w:hAnsi="Times New Roman" w:cs="Arial"/>
        <w:sz w:val="18"/>
        <w:szCs w:val="24"/>
        <w:lang w:bidi="he-IL"/>
      </w:rPr>
      <w:tab/>
    </w:r>
    <w:r>
      <w:rPr>
        <w:rFonts w:ascii="Times New Roman" w:hAnsi="Times New Roman" w:cs="Arial"/>
        <w:sz w:val="18"/>
        <w:szCs w:val="24"/>
        <w:lang w:bidi="he-IL"/>
      </w:rPr>
      <w:tab/>
    </w:r>
    <w:r>
      <w:rPr>
        <w:rFonts w:ascii="Times New Roman" w:hAnsi="Times New Roman" w:cs="Arial"/>
        <w:noProof/>
        <w:sz w:val="18"/>
        <w:szCs w:val="24"/>
        <w:lang w:bidi="he-IL"/>
      </w:rPr>
      <w:t>Herceptin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C414B6"/>
    <w:lvl w:ilvl="0">
      <w:start w:val="1"/>
      <w:numFmt w:val="decimal"/>
      <w:lvlText w:val="%1."/>
      <w:lvlJc w:val="left"/>
      <w:pPr>
        <w:tabs>
          <w:tab w:val="num" w:pos="360"/>
        </w:tabs>
        <w:ind w:left="360" w:hanging="360"/>
      </w:pPr>
      <w:rPr>
        <w:rFonts w:cs="Times New Roman"/>
      </w:rPr>
    </w:lvl>
  </w:abstractNum>
  <w:abstractNum w:abstractNumId="1" w15:restartNumberingAfterBreak="0">
    <w:nsid w:val="02411E87"/>
    <w:multiLevelType w:val="hybridMultilevel"/>
    <w:tmpl w:val="D4D803A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2A64628"/>
    <w:multiLevelType w:val="hybridMultilevel"/>
    <w:tmpl w:val="32625B04"/>
    <w:lvl w:ilvl="0" w:tplc="6EC022E0">
      <w:start w:val="1"/>
      <w:numFmt w:val="bullet"/>
      <w:lvlText w:val="-"/>
      <w:lvlJc w:val="left"/>
      <w:pPr>
        <w:tabs>
          <w:tab w:val="num" w:pos="360"/>
        </w:tabs>
        <w:ind w:left="144" w:hanging="144"/>
      </w:pPr>
      <w:rPr>
        <w:rFonts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2208C"/>
    <w:multiLevelType w:val="hybridMultilevel"/>
    <w:tmpl w:val="84BEF174"/>
    <w:lvl w:ilvl="0" w:tplc="27F6864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90C4D57"/>
    <w:multiLevelType w:val="hybridMultilevel"/>
    <w:tmpl w:val="A40A8C32"/>
    <w:lvl w:ilvl="0" w:tplc="6EC022E0">
      <w:start w:val="1"/>
      <w:numFmt w:val="bullet"/>
      <w:lvlText w:val="-"/>
      <w:lvlJc w:val="left"/>
      <w:pPr>
        <w:tabs>
          <w:tab w:val="num" w:pos="360"/>
        </w:tabs>
        <w:ind w:left="144" w:hanging="144"/>
      </w:pPr>
      <w:rPr>
        <w:rFonts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7243E"/>
    <w:multiLevelType w:val="hybridMultilevel"/>
    <w:tmpl w:val="38325D80"/>
    <w:lvl w:ilvl="0" w:tplc="13AAC2FE">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16FE5"/>
    <w:multiLevelType w:val="hybridMultilevel"/>
    <w:tmpl w:val="5F1E9D8A"/>
    <w:lvl w:ilvl="0" w:tplc="5E7E93B6">
      <w:numFmt w:val="bullet"/>
      <w:lvlText w:val="–"/>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71A6C"/>
    <w:multiLevelType w:val="hybridMultilevel"/>
    <w:tmpl w:val="A59A8100"/>
    <w:lvl w:ilvl="0" w:tplc="21D8E65A">
      <w:start w:val="1"/>
      <w:numFmt w:val="bullet"/>
      <w:lvlText w:val="−"/>
      <w:lvlJc w:val="left"/>
      <w:pPr>
        <w:tabs>
          <w:tab w:val="num" w:pos="360"/>
        </w:tabs>
        <w:ind w:left="360" w:hanging="360"/>
      </w:pPr>
      <w:rPr>
        <w:rFonts w:ascii="Times New Roman" w:eastAsia="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73134"/>
    <w:multiLevelType w:val="hybridMultilevel"/>
    <w:tmpl w:val="C76ACEB4"/>
    <w:lvl w:ilvl="0" w:tplc="609E0FC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F5CF7"/>
    <w:multiLevelType w:val="hybridMultilevel"/>
    <w:tmpl w:val="6A84C810"/>
    <w:lvl w:ilvl="0" w:tplc="2B84DC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76D45"/>
    <w:multiLevelType w:val="hybridMultilevel"/>
    <w:tmpl w:val="32625B04"/>
    <w:lvl w:ilvl="0" w:tplc="6EC022E0">
      <w:start w:val="1"/>
      <w:numFmt w:val="bullet"/>
      <w:lvlText w:val="-"/>
      <w:lvlJc w:val="left"/>
      <w:pPr>
        <w:tabs>
          <w:tab w:val="num" w:pos="360"/>
        </w:tabs>
        <w:ind w:left="144" w:hanging="144"/>
      </w:pPr>
      <w:rPr>
        <w:rFonts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F7811"/>
    <w:multiLevelType w:val="hybridMultilevel"/>
    <w:tmpl w:val="75A49874"/>
    <w:lvl w:ilvl="0" w:tplc="A7D4EF12">
      <w:start w:val="1"/>
      <w:numFmt w:val="bullet"/>
      <w:lvlText w:val="-"/>
      <w:lvlJc w:val="left"/>
      <w:pPr>
        <w:tabs>
          <w:tab w:val="num" w:pos="360"/>
        </w:tabs>
        <w:ind w:left="144" w:hanging="144"/>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666DB"/>
    <w:multiLevelType w:val="hybridMultilevel"/>
    <w:tmpl w:val="7DB64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3E58C4"/>
    <w:multiLevelType w:val="hybridMultilevel"/>
    <w:tmpl w:val="25D47AD8"/>
    <w:lvl w:ilvl="0" w:tplc="20D4B954">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75C3DDF"/>
    <w:multiLevelType w:val="hybridMultilevel"/>
    <w:tmpl w:val="8A9E77C4"/>
    <w:lvl w:ilvl="0" w:tplc="21D8E65A">
      <w:start w:val="1"/>
      <w:numFmt w:val="bullet"/>
      <w:lvlText w:val="−"/>
      <w:lvlJc w:val="left"/>
      <w:pPr>
        <w:tabs>
          <w:tab w:val="num" w:pos="360"/>
        </w:tabs>
        <w:ind w:left="360" w:hanging="360"/>
      </w:pPr>
      <w:rPr>
        <w:rFonts w:ascii="Times New Roman" w:eastAsia="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E6934"/>
    <w:multiLevelType w:val="hybridMultilevel"/>
    <w:tmpl w:val="F1863DDA"/>
    <w:lvl w:ilvl="0" w:tplc="7E2E312C">
      <w:start w:val="1"/>
      <w:numFmt w:val="lowerLetter"/>
      <w:lvlText w:val="%1)"/>
      <w:lvlJc w:val="left"/>
      <w:pPr>
        <w:ind w:left="1065" w:hanging="7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053223F"/>
    <w:multiLevelType w:val="hybridMultilevel"/>
    <w:tmpl w:val="2D244832"/>
    <w:lvl w:ilvl="0" w:tplc="452E46D0">
      <w:start w:val="3"/>
      <w:numFmt w:val="bullet"/>
      <w:lvlText w:val="•"/>
      <w:lvlJc w:val="left"/>
      <w:pPr>
        <w:ind w:left="1065" w:hanging="705"/>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B4180"/>
    <w:multiLevelType w:val="hybridMultilevel"/>
    <w:tmpl w:val="5F1E9D8A"/>
    <w:lvl w:ilvl="0" w:tplc="41886A9E">
      <w:start w:val="1"/>
      <w:numFmt w:val="bullet"/>
      <w:lvlText w:val="–"/>
      <w:lvlJc w:val="left"/>
      <w:pPr>
        <w:tabs>
          <w:tab w:val="num" w:pos="142"/>
        </w:tabs>
      </w:pPr>
      <w:rPr>
        <w:rFonts w:ascii="Times New Roman" w:eastAsia="Times New Roman" w:hint="default"/>
        <w:b w:val="0"/>
        <w:i w:val="0"/>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37EFB"/>
    <w:multiLevelType w:val="hybridMultilevel"/>
    <w:tmpl w:val="0C5682D6"/>
    <w:lvl w:ilvl="0" w:tplc="6512E7C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905E2"/>
    <w:multiLevelType w:val="hybridMultilevel"/>
    <w:tmpl w:val="32625B04"/>
    <w:lvl w:ilvl="0" w:tplc="6EC022E0">
      <w:start w:val="1"/>
      <w:numFmt w:val="bullet"/>
      <w:lvlText w:val="-"/>
      <w:lvlJc w:val="left"/>
      <w:pPr>
        <w:tabs>
          <w:tab w:val="num" w:pos="360"/>
        </w:tabs>
        <w:ind w:left="144" w:hanging="144"/>
      </w:pPr>
      <w:rPr>
        <w:rFonts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F4A3F"/>
    <w:multiLevelType w:val="hybridMultilevel"/>
    <w:tmpl w:val="4046356E"/>
    <w:lvl w:ilvl="0" w:tplc="2C80775C">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70A7BEC"/>
    <w:multiLevelType w:val="hybridMultilevel"/>
    <w:tmpl w:val="B2D87B0A"/>
    <w:lvl w:ilvl="0" w:tplc="39B67136">
      <w:start w:val="1"/>
      <w:numFmt w:val="bullet"/>
      <w:lvlText w:val="−"/>
      <w:lvlJc w:val="left"/>
      <w:pPr>
        <w:tabs>
          <w:tab w:val="num" w:pos="360"/>
        </w:tabs>
        <w:ind w:left="360" w:hanging="360"/>
      </w:pPr>
      <w:rPr>
        <w:rFonts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14DCD"/>
    <w:multiLevelType w:val="hybridMultilevel"/>
    <w:tmpl w:val="9DE4BD9E"/>
    <w:lvl w:ilvl="0" w:tplc="8D0C6C28">
      <w:start w:val="1"/>
      <w:numFmt w:val="decimal"/>
      <w:lvlText w:val="%1."/>
      <w:lvlJc w:val="left"/>
      <w:pPr>
        <w:ind w:left="1065" w:hanging="7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E636ADC"/>
    <w:multiLevelType w:val="hybridMultilevel"/>
    <w:tmpl w:val="82B4DD2E"/>
    <w:lvl w:ilvl="0" w:tplc="E85CAE8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4836B1B"/>
    <w:multiLevelType w:val="hybridMultilevel"/>
    <w:tmpl w:val="513E4DCE"/>
    <w:lvl w:ilvl="0" w:tplc="19D68B48">
      <w:start w:val="1"/>
      <w:numFmt w:val="lowerLetter"/>
      <w:lvlText w:val="%1)"/>
      <w:lvlJc w:val="left"/>
      <w:pPr>
        <w:ind w:left="360" w:hanging="360"/>
      </w:pPr>
      <w:rPr>
        <w:rFonts w:cs="Times New Roman" w:hint="default"/>
        <w:sz w:val="22"/>
        <w:vertAlign w:val="baseline"/>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563B62E9"/>
    <w:multiLevelType w:val="hybridMultilevel"/>
    <w:tmpl w:val="97D66F88"/>
    <w:lvl w:ilvl="0" w:tplc="21D8E65A">
      <w:start w:val="1"/>
      <w:numFmt w:val="bullet"/>
      <w:lvlText w:val="−"/>
      <w:lvlJc w:val="left"/>
      <w:pPr>
        <w:tabs>
          <w:tab w:val="num" w:pos="360"/>
        </w:tabs>
        <w:ind w:left="360" w:hanging="360"/>
      </w:pPr>
      <w:rPr>
        <w:rFonts w:ascii="Times New Roman" w:eastAsia="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E44CC9"/>
    <w:multiLevelType w:val="hybridMultilevel"/>
    <w:tmpl w:val="32625B04"/>
    <w:lvl w:ilvl="0" w:tplc="6EC022E0">
      <w:start w:val="1"/>
      <w:numFmt w:val="bullet"/>
      <w:lvlText w:val="-"/>
      <w:lvlJc w:val="left"/>
      <w:pPr>
        <w:tabs>
          <w:tab w:val="num" w:pos="360"/>
        </w:tabs>
        <w:ind w:left="144" w:hanging="144"/>
      </w:pPr>
      <w:rPr>
        <w:rFonts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B4752"/>
    <w:multiLevelType w:val="hybridMultilevel"/>
    <w:tmpl w:val="C76ACEB4"/>
    <w:lvl w:ilvl="0" w:tplc="923445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07432A"/>
    <w:multiLevelType w:val="hybridMultilevel"/>
    <w:tmpl w:val="32625B04"/>
    <w:lvl w:ilvl="0" w:tplc="6EC022E0">
      <w:start w:val="1"/>
      <w:numFmt w:val="bullet"/>
      <w:lvlText w:val="-"/>
      <w:lvlJc w:val="left"/>
      <w:pPr>
        <w:tabs>
          <w:tab w:val="num" w:pos="360"/>
        </w:tabs>
        <w:ind w:left="144" w:hanging="144"/>
      </w:pPr>
      <w:rPr>
        <w:rFonts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113B7"/>
    <w:multiLevelType w:val="hybridMultilevel"/>
    <w:tmpl w:val="32625B04"/>
    <w:lvl w:ilvl="0" w:tplc="FC84FE76">
      <w:start w:val="1"/>
      <w:numFmt w:val="bullet"/>
      <w:lvlText w:val="-"/>
      <w:lvlJc w:val="left"/>
      <w:pPr>
        <w:tabs>
          <w:tab w:val="num" w:pos="360"/>
        </w:tabs>
        <w:ind w:left="144" w:hanging="144"/>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610D33"/>
    <w:multiLevelType w:val="hybridMultilevel"/>
    <w:tmpl w:val="001EF9BA"/>
    <w:lvl w:ilvl="0" w:tplc="BD62FB3C">
      <w:start w:val="1"/>
      <w:numFmt w:val="decimal"/>
      <w:lvlText w:val="%1)"/>
      <w:lvlJc w:val="left"/>
      <w:pPr>
        <w:tabs>
          <w:tab w:val="num" w:pos="36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num>
  <w:num w:numId="2">
    <w:abstractNumId w:val="6"/>
  </w:num>
  <w:num w:numId="3">
    <w:abstractNumId w:val="27"/>
  </w:num>
  <w:num w:numId="4">
    <w:abstractNumId w:val="8"/>
  </w:num>
  <w:num w:numId="5">
    <w:abstractNumId w:val="23"/>
  </w:num>
  <w:num w:numId="6">
    <w:abstractNumId w:val="25"/>
  </w:num>
  <w:num w:numId="7">
    <w:abstractNumId w:val="7"/>
  </w:num>
  <w:num w:numId="8">
    <w:abstractNumId w:val="14"/>
  </w:num>
  <w:num w:numId="9">
    <w:abstractNumId w:val="21"/>
  </w:num>
  <w:num w:numId="10">
    <w:abstractNumId w:val="30"/>
  </w:num>
  <w:num w:numId="11">
    <w:abstractNumId w:val="5"/>
  </w:num>
  <w:num w:numId="12">
    <w:abstractNumId w:val="9"/>
  </w:num>
  <w:num w:numId="13">
    <w:abstractNumId w:val="24"/>
  </w:num>
  <w:num w:numId="14">
    <w:abstractNumId w:val="15"/>
  </w:num>
  <w:num w:numId="15">
    <w:abstractNumId w:val="12"/>
  </w:num>
  <w:num w:numId="16">
    <w:abstractNumId w:val="16"/>
  </w:num>
  <w:num w:numId="17">
    <w:abstractNumId w:val="4"/>
  </w:num>
  <w:num w:numId="18">
    <w:abstractNumId w:val="2"/>
  </w:num>
  <w:num w:numId="19">
    <w:abstractNumId w:val="10"/>
  </w:num>
  <w:num w:numId="20">
    <w:abstractNumId w:val="19"/>
  </w:num>
  <w:num w:numId="21">
    <w:abstractNumId w:val="28"/>
  </w:num>
  <w:num w:numId="22">
    <w:abstractNumId w:val="26"/>
  </w:num>
  <w:num w:numId="23">
    <w:abstractNumId w:val="29"/>
  </w:num>
  <w:num w:numId="24">
    <w:abstractNumId w:val="18"/>
  </w:num>
  <w:num w:numId="25">
    <w:abstractNumId w:val="1"/>
  </w:num>
  <w:num w:numId="26">
    <w:abstractNumId w:val="22"/>
  </w:num>
  <w:num w:numId="27">
    <w:abstractNumId w:val="20"/>
  </w:num>
  <w:num w:numId="28">
    <w:abstractNumId w:val="13"/>
  </w:num>
  <w:num w:numId="29">
    <w:abstractNumId w:val="3"/>
  </w:num>
  <w:num w:numId="30">
    <w:abstractNumId w:val="11"/>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WL/601">
    <w15:presenceInfo w15:providerId="None" w15:userId="DWL/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6"/>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dl" w:val="22 Mar 2021"/>
    <w:docVar w:name="dth" w:val=".250150462855687"/>
    <w:docVar w:name="dtl" w:val="1373"/>
    <w:docVar w:name="dtm" w:val="2334.1"/>
    <w:docVar w:name="lchg" w:val="1.70"/>
    <w:docVar w:name="oet" w:val="5 Minutes"/>
    <w:docVar w:name="olr" w:val="228.695692505423"/>
    <w:docVar w:name="stopt" w:val="44276.8833333333"/>
  </w:docVars>
  <w:rsids>
    <w:rsidRoot w:val="00284B35"/>
    <w:rsid w:val="00001178"/>
    <w:rsid w:val="0000332D"/>
    <w:rsid w:val="000048C6"/>
    <w:rsid w:val="00005F02"/>
    <w:rsid w:val="00006832"/>
    <w:rsid w:val="0000727B"/>
    <w:rsid w:val="000114B6"/>
    <w:rsid w:val="00011598"/>
    <w:rsid w:val="00011E2F"/>
    <w:rsid w:val="00012AF8"/>
    <w:rsid w:val="000147DD"/>
    <w:rsid w:val="000148E1"/>
    <w:rsid w:val="0001642C"/>
    <w:rsid w:val="00022EA4"/>
    <w:rsid w:val="00023C39"/>
    <w:rsid w:val="000241DE"/>
    <w:rsid w:val="00024536"/>
    <w:rsid w:val="00025268"/>
    <w:rsid w:val="000252A3"/>
    <w:rsid w:val="00025E7F"/>
    <w:rsid w:val="00030233"/>
    <w:rsid w:val="0003265D"/>
    <w:rsid w:val="00032D5E"/>
    <w:rsid w:val="00033485"/>
    <w:rsid w:val="00035E7A"/>
    <w:rsid w:val="0003670B"/>
    <w:rsid w:val="00046A45"/>
    <w:rsid w:val="00047FE4"/>
    <w:rsid w:val="00051152"/>
    <w:rsid w:val="00051B75"/>
    <w:rsid w:val="00052094"/>
    <w:rsid w:val="00055362"/>
    <w:rsid w:val="00055CF9"/>
    <w:rsid w:val="00056DF4"/>
    <w:rsid w:val="0006018F"/>
    <w:rsid w:val="00060E82"/>
    <w:rsid w:val="0006165D"/>
    <w:rsid w:val="00062610"/>
    <w:rsid w:val="000632A9"/>
    <w:rsid w:val="00063E49"/>
    <w:rsid w:val="000647F7"/>
    <w:rsid w:val="0006516B"/>
    <w:rsid w:val="000662DF"/>
    <w:rsid w:val="00066E1A"/>
    <w:rsid w:val="0007055D"/>
    <w:rsid w:val="00070636"/>
    <w:rsid w:val="000713F4"/>
    <w:rsid w:val="0007448C"/>
    <w:rsid w:val="00074982"/>
    <w:rsid w:val="00075B3B"/>
    <w:rsid w:val="000810EF"/>
    <w:rsid w:val="0008204E"/>
    <w:rsid w:val="00085319"/>
    <w:rsid w:val="00090104"/>
    <w:rsid w:val="00090C52"/>
    <w:rsid w:val="00093369"/>
    <w:rsid w:val="00094F85"/>
    <w:rsid w:val="000967AC"/>
    <w:rsid w:val="00096C87"/>
    <w:rsid w:val="00096D61"/>
    <w:rsid w:val="00097E45"/>
    <w:rsid w:val="000A264F"/>
    <w:rsid w:val="000A2DD0"/>
    <w:rsid w:val="000A31C0"/>
    <w:rsid w:val="000A3B9D"/>
    <w:rsid w:val="000A43B7"/>
    <w:rsid w:val="000A5576"/>
    <w:rsid w:val="000A7E37"/>
    <w:rsid w:val="000B0A71"/>
    <w:rsid w:val="000B17E1"/>
    <w:rsid w:val="000B2C54"/>
    <w:rsid w:val="000B522D"/>
    <w:rsid w:val="000B5930"/>
    <w:rsid w:val="000B6919"/>
    <w:rsid w:val="000C27C7"/>
    <w:rsid w:val="000C30F1"/>
    <w:rsid w:val="000C32D5"/>
    <w:rsid w:val="000C39C2"/>
    <w:rsid w:val="000C521E"/>
    <w:rsid w:val="000C539B"/>
    <w:rsid w:val="000C58C9"/>
    <w:rsid w:val="000C5AF4"/>
    <w:rsid w:val="000C66F2"/>
    <w:rsid w:val="000D24D7"/>
    <w:rsid w:val="000D283A"/>
    <w:rsid w:val="000D6FAD"/>
    <w:rsid w:val="000E2407"/>
    <w:rsid w:val="000E33AB"/>
    <w:rsid w:val="000E5673"/>
    <w:rsid w:val="000E5F10"/>
    <w:rsid w:val="000E66B8"/>
    <w:rsid w:val="000F0485"/>
    <w:rsid w:val="000F1780"/>
    <w:rsid w:val="000F2A01"/>
    <w:rsid w:val="000F37FE"/>
    <w:rsid w:val="000F382E"/>
    <w:rsid w:val="000F696F"/>
    <w:rsid w:val="000F77B2"/>
    <w:rsid w:val="00100FC4"/>
    <w:rsid w:val="0010169D"/>
    <w:rsid w:val="00102113"/>
    <w:rsid w:val="00102B53"/>
    <w:rsid w:val="001056ED"/>
    <w:rsid w:val="00110ADD"/>
    <w:rsid w:val="0011277F"/>
    <w:rsid w:val="00115763"/>
    <w:rsid w:val="00116BA5"/>
    <w:rsid w:val="00116F49"/>
    <w:rsid w:val="00120C08"/>
    <w:rsid w:val="001231BB"/>
    <w:rsid w:val="00124E42"/>
    <w:rsid w:val="001254E3"/>
    <w:rsid w:val="00125DAF"/>
    <w:rsid w:val="001262D4"/>
    <w:rsid w:val="00133C52"/>
    <w:rsid w:val="00135E9E"/>
    <w:rsid w:val="001360E8"/>
    <w:rsid w:val="00140789"/>
    <w:rsid w:val="001410BA"/>
    <w:rsid w:val="0014293B"/>
    <w:rsid w:val="0014368B"/>
    <w:rsid w:val="00144626"/>
    <w:rsid w:val="001447A6"/>
    <w:rsid w:val="001467F3"/>
    <w:rsid w:val="001471C5"/>
    <w:rsid w:val="00147D5B"/>
    <w:rsid w:val="00151455"/>
    <w:rsid w:val="00151B65"/>
    <w:rsid w:val="0015202A"/>
    <w:rsid w:val="00153281"/>
    <w:rsid w:val="00153C31"/>
    <w:rsid w:val="00154208"/>
    <w:rsid w:val="00154852"/>
    <w:rsid w:val="0015540C"/>
    <w:rsid w:val="00155572"/>
    <w:rsid w:val="00155F81"/>
    <w:rsid w:val="00157BAC"/>
    <w:rsid w:val="00160DCF"/>
    <w:rsid w:val="001612FE"/>
    <w:rsid w:val="00162524"/>
    <w:rsid w:val="00165104"/>
    <w:rsid w:val="001673CB"/>
    <w:rsid w:val="001709EB"/>
    <w:rsid w:val="00171197"/>
    <w:rsid w:val="0017205E"/>
    <w:rsid w:val="001725B0"/>
    <w:rsid w:val="0017342C"/>
    <w:rsid w:val="00173573"/>
    <w:rsid w:val="00176695"/>
    <w:rsid w:val="00176846"/>
    <w:rsid w:val="00176F6B"/>
    <w:rsid w:val="00177C0E"/>
    <w:rsid w:val="00180991"/>
    <w:rsid w:val="0018312C"/>
    <w:rsid w:val="00183A6F"/>
    <w:rsid w:val="00183DE6"/>
    <w:rsid w:val="00185F6F"/>
    <w:rsid w:val="00187D81"/>
    <w:rsid w:val="00195167"/>
    <w:rsid w:val="00197BFD"/>
    <w:rsid w:val="001A01FE"/>
    <w:rsid w:val="001A0311"/>
    <w:rsid w:val="001A1B70"/>
    <w:rsid w:val="001A4D25"/>
    <w:rsid w:val="001A6C1C"/>
    <w:rsid w:val="001B65C7"/>
    <w:rsid w:val="001C014E"/>
    <w:rsid w:val="001C0FA3"/>
    <w:rsid w:val="001C12AA"/>
    <w:rsid w:val="001C532F"/>
    <w:rsid w:val="001C5A98"/>
    <w:rsid w:val="001D4D6E"/>
    <w:rsid w:val="001D513D"/>
    <w:rsid w:val="001D6C7A"/>
    <w:rsid w:val="001E2D18"/>
    <w:rsid w:val="001E70BA"/>
    <w:rsid w:val="001F1EF0"/>
    <w:rsid w:val="001F28A4"/>
    <w:rsid w:val="001F47EB"/>
    <w:rsid w:val="001F4AB0"/>
    <w:rsid w:val="001F53B4"/>
    <w:rsid w:val="001F5D7F"/>
    <w:rsid w:val="001F717E"/>
    <w:rsid w:val="00202672"/>
    <w:rsid w:val="002033C7"/>
    <w:rsid w:val="0021125D"/>
    <w:rsid w:val="0021158F"/>
    <w:rsid w:val="002131AF"/>
    <w:rsid w:val="0021328E"/>
    <w:rsid w:val="00213D66"/>
    <w:rsid w:val="0021401B"/>
    <w:rsid w:val="0021461D"/>
    <w:rsid w:val="00217462"/>
    <w:rsid w:val="00220705"/>
    <w:rsid w:val="00220806"/>
    <w:rsid w:val="00221808"/>
    <w:rsid w:val="00221EDB"/>
    <w:rsid w:val="002243C3"/>
    <w:rsid w:val="00224C81"/>
    <w:rsid w:val="00227CFD"/>
    <w:rsid w:val="00231919"/>
    <w:rsid w:val="0023281C"/>
    <w:rsid w:val="00236EF1"/>
    <w:rsid w:val="0024143D"/>
    <w:rsid w:val="00241727"/>
    <w:rsid w:val="00242805"/>
    <w:rsid w:val="002440EC"/>
    <w:rsid w:val="00244401"/>
    <w:rsid w:val="0024461F"/>
    <w:rsid w:val="00244B87"/>
    <w:rsid w:val="00247A2B"/>
    <w:rsid w:val="00247A8D"/>
    <w:rsid w:val="00247E17"/>
    <w:rsid w:val="00251591"/>
    <w:rsid w:val="00254CDE"/>
    <w:rsid w:val="0025515B"/>
    <w:rsid w:val="00256068"/>
    <w:rsid w:val="002567B2"/>
    <w:rsid w:val="00257556"/>
    <w:rsid w:val="002635B9"/>
    <w:rsid w:val="00263EE5"/>
    <w:rsid w:val="0026442A"/>
    <w:rsid w:val="002659E6"/>
    <w:rsid w:val="00270047"/>
    <w:rsid w:val="002706BC"/>
    <w:rsid w:val="00270A1C"/>
    <w:rsid w:val="002728C2"/>
    <w:rsid w:val="00274EE5"/>
    <w:rsid w:val="00280763"/>
    <w:rsid w:val="002808CF"/>
    <w:rsid w:val="00281C51"/>
    <w:rsid w:val="00282CEA"/>
    <w:rsid w:val="00283F75"/>
    <w:rsid w:val="00284B35"/>
    <w:rsid w:val="0028530C"/>
    <w:rsid w:val="00286BB7"/>
    <w:rsid w:val="00290995"/>
    <w:rsid w:val="00291DAC"/>
    <w:rsid w:val="002932B4"/>
    <w:rsid w:val="00295363"/>
    <w:rsid w:val="00296A9A"/>
    <w:rsid w:val="00297FE9"/>
    <w:rsid w:val="002A0AE2"/>
    <w:rsid w:val="002A2642"/>
    <w:rsid w:val="002A3072"/>
    <w:rsid w:val="002A41A7"/>
    <w:rsid w:val="002B5346"/>
    <w:rsid w:val="002B57DF"/>
    <w:rsid w:val="002B6B07"/>
    <w:rsid w:val="002B6B6C"/>
    <w:rsid w:val="002C5D30"/>
    <w:rsid w:val="002D1125"/>
    <w:rsid w:val="002D21B2"/>
    <w:rsid w:val="002D2982"/>
    <w:rsid w:val="002D31DC"/>
    <w:rsid w:val="002D56A5"/>
    <w:rsid w:val="002D7ED8"/>
    <w:rsid w:val="002E180E"/>
    <w:rsid w:val="002E1DD0"/>
    <w:rsid w:val="002E54F1"/>
    <w:rsid w:val="002E6D2B"/>
    <w:rsid w:val="002E7753"/>
    <w:rsid w:val="002F2DD9"/>
    <w:rsid w:val="002F3284"/>
    <w:rsid w:val="002F34CF"/>
    <w:rsid w:val="002F6ABE"/>
    <w:rsid w:val="0030420A"/>
    <w:rsid w:val="0030492D"/>
    <w:rsid w:val="00304B94"/>
    <w:rsid w:val="003051FF"/>
    <w:rsid w:val="0030616B"/>
    <w:rsid w:val="0030710F"/>
    <w:rsid w:val="003135FD"/>
    <w:rsid w:val="00315EAA"/>
    <w:rsid w:val="003172C2"/>
    <w:rsid w:val="0031781B"/>
    <w:rsid w:val="003203FA"/>
    <w:rsid w:val="00320987"/>
    <w:rsid w:val="003218BF"/>
    <w:rsid w:val="0032337E"/>
    <w:rsid w:val="00323D94"/>
    <w:rsid w:val="00323ED9"/>
    <w:rsid w:val="0032417F"/>
    <w:rsid w:val="00324E07"/>
    <w:rsid w:val="00330693"/>
    <w:rsid w:val="003308D8"/>
    <w:rsid w:val="00331D65"/>
    <w:rsid w:val="003326F6"/>
    <w:rsid w:val="003330AF"/>
    <w:rsid w:val="003337B7"/>
    <w:rsid w:val="0033566F"/>
    <w:rsid w:val="00337B9B"/>
    <w:rsid w:val="00340277"/>
    <w:rsid w:val="00340AFA"/>
    <w:rsid w:val="0034145A"/>
    <w:rsid w:val="00342964"/>
    <w:rsid w:val="003432A3"/>
    <w:rsid w:val="0034397B"/>
    <w:rsid w:val="003444E4"/>
    <w:rsid w:val="003445E2"/>
    <w:rsid w:val="003459E1"/>
    <w:rsid w:val="00347424"/>
    <w:rsid w:val="0035089D"/>
    <w:rsid w:val="003518B3"/>
    <w:rsid w:val="0035254F"/>
    <w:rsid w:val="003528BE"/>
    <w:rsid w:val="003529F7"/>
    <w:rsid w:val="003541DB"/>
    <w:rsid w:val="00354283"/>
    <w:rsid w:val="003546B1"/>
    <w:rsid w:val="00355D0D"/>
    <w:rsid w:val="003565D8"/>
    <w:rsid w:val="00356A2A"/>
    <w:rsid w:val="0036159C"/>
    <w:rsid w:val="00361D5D"/>
    <w:rsid w:val="003623AC"/>
    <w:rsid w:val="00364EF2"/>
    <w:rsid w:val="003655E5"/>
    <w:rsid w:val="0036679A"/>
    <w:rsid w:val="0036701A"/>
    <w:rsid w:val="00367142"/>
    <w:rsid w:val="00371067"/>
    <w:rsid w:val="00371904"/>
    <w:rsid w:val="00371DBA"/>
    <w:rsid w:val="00371FE7"/>
    <w:rsid w:val="003726E0"/>
    <w:rsid w:val="00373D2C"/>
    <w:rsid w:val="00373EE9"/>
    <w:rsid w:val="00374311"/>
    <w:rsid w:val="00375138"/>
    <w:rsid w:val="003760B4"/>
    <w:rsid w:val="00377869"/>
    <w:rsid w:val="00381F59"/>
    <w:rsid w:val="00383B19"/>
    <w:rsid w:val="00384107"/>
    <w:rsid w:val="00384CF1"/>
    <w:rsid w:val="00385E54"/>
    <w:rsid w:val="00391081"/>
    <w:rsid w:val="00391747"/>
    <w:rsid w:val="00395967"/>
    <w:rsid w:val="00397C1C"/>
    <w:rsid w:val="003A3CA0"/>
    <w:rsid w:val="003A5170"/>
    <w:rsid w:val="003A6861"/>
    <w:rsid w:val="003A6967"/>
    <w:rsid w:val="003B02C2"/>
    <w:rsid w:val="003B0DBA"/>
    <w:rsid w:val="003B1BF6"/>
    <w:rsid w:val="003B3043"/>
    <w:rsid w:val="003B3B5B"/>
    <w:rsid w:val="003B5B04"/>
    <w:rsid w:val="003B6C93"/>
    <w:rsid w:val="003B73F0"/>
    <w:rsid w:val="003B7FB8"/>
    <w:rsid w:val="003C1F8E"/>
    <w:rsid w:val="003C30A1"/>
    <w:rsid w:val="003C59BC"/>
    <w:rsid w:val="003D0B5A"/>
    <w:rsid w:val="003D4007"/>
    <w:rsid w:val="003D4A1D"/>
    <w:rsid w:val="003D5F4F"/>
    <w:rsid w:val="003D63B2"/>
    <w:rsid w:val="003D70B0"/>
    <w:rsid w:val="003E192D"/>
    <w:rsid w:val="003E1DA8"/>
    <w:rsid w:val="003E289C"/>
    <w:rsid w:val="003E6F68"/>
    <w:rsid w:val="003E7C63"/>
    <w:rsid w:val="003F1A49"/>
    <w:rsid w:val="003F4774"/>
    <w:rsid w:val="00400907"/>
    <w:rsid w:val="004020AA"/>
    <w:rsid w:val="004023D5"/>
    <w:rsid w:val="00403F3B"/>
    <w:rsid w:val="00404B9B"/>
    <w:rsid w:val="00404E9B"/>
    <w:rsid w:val="00406855"/>
    <w:rsid w:val="00410AF4"/>
    <w:rsid w:val="00410DB6"/>
    <w:rsid w:val="0041215F"/>
    <w:rsid w:val="00413951"/>
    <w:rsid w:val="00413BB4"/>
    <w:rsid w:val="00413F6B"/>
    <w:rsid w:val="00415515"/>
    <w:rsid w:val="00415C32"/>
    <w:rsid w:val="00415D79"/>
    <w:rsid w:val="00421BD5"/>
    <w:rsid w:val="004239B9"/>
    <w:rsid w:val="00425442"/>
    <w:rsid w:val="00427918"/>
    <w:rsid w:val="004310C9"/>
    <w:rsid w:val="00436FE1"/>
    <w:rsid w:val="00440F7D"/>
    <w:rsid w:val="00442A58"/>
    <w:rsid w:val="00443EAB"/>
    <w:rsid w:val="004471AD"/>
    <w:rsid w:val="0044787A"/>
    <w:rsid w:val="00450220"/>
    <w:rsid w:val="00450497"/>
    <w:rsid w:val="00452813"/>
    <w:rsid w:val="00452D11"/>
    <w:rsid w:val="0045470C"/>
    <w:rsid w:val="004550DF"/>
    <w:rsid w:val="00455AA2"/>
    <w:rsid w:val="00455CFB"/>
    <w:rsid w:val="00456C42"/>
    <w:rsid w:val="004629A2"/>
    <w:rsid w:val="004658BF"/>
    <w:rsid w:val="004663A8"/>
    <w:rsid w:val="00471E03"/>
    <w:rsid w:val="00481591"/>
    <w:rsid w:val="00482879"/>
    <w:rsid w:val="00482BF1"/>
    <w:rsid w:val="00482CEA"/>
    <w:rsid w:val="00482FF4"/>
    <w:rsid w:val="0048417B"/>
    <w:rsid w:val="00485F42"/>
    <w:rsid w:val="004860A6"/>
    <w:rsid w:val="0049036A"/>
    <w:rsid w:val="0049069C"/>
    <w:rsid w:val="00491573"/>
    <w:rsid w:val="0049451E"/>
    <w:rsid w:val="00495284"/>
    <w:rsid w:val="004972B7"/>
    <w:rsid w:val="00497AFA"/>
    <w:rsid w:val="004A3686"/>
    <w:rsid w:val="004A3922"/>
    <w:rsid w:val="004A4B87"/>
    <w:rsid w:val="004A5162"/>
    <w:rsid w:val="004B06F3"/>
    <w:rsid w:val="004B1478"/>
    <w:rsid w:val="004B3D68"/>
    <w:rsid w:val="004B4250"/>
    <w:rsid w:val="004B42FA"/>
    <w:rsid w:val="004B7690"/>
    <w:rsid w:val="004B7B26"/>
    <w:rsid w:val="004C0396"/>
    <w:rsid w:val="004C0475"/>
    <w:rsid w:val="004C28C6"/>
    <w:rsid w:val="004C3593"/>
    <w:rsid w:val="004C60F7"/>
    <w:rsid w:val="004D2566"/>
    <w:rsid w:val="004D3D59"/>
    <w:rsid w:val="004D48C3"/>
    <w:rsid w:val="004D5093"/>
    <w:rsid w:val="004E0017"/>
    <w:rsid w:val="004E4756"/>
    <w:rsid w:val="004E5152"/>
    <w:rsid w:val="004E5CB1"/>
    <w:rsid w:val="004F017E"/>
    <w:rsid w:val="004F20CA"/>
    <w:rsid w:val="004F28E0"/>
    <w:rsid w:val="004F3283"/>
    <w:rsid w:val="004F52AF"/>
    <w:rsid w:val="004F5C92"/>
    <w:rsid w:val="004F5DC8"/>
    <w:rsid w:val="004F75DF"/>
    <w:rsid w:val="004F77E2"/>
    <w:rsid w:val="0050232E"/>
    <w:rsid w:val="0050322C"/>
    <w:rsid w:val="005033B9"/>
    <w:rsid w:val="005054D6"/>
    <w:rsid w:val="00505AD3"/>
    <w:rsid w:val="00505B8C"/>
    <w:rsid w:val="00507C26"/>
    <w:rsid w:val="00511806"/>
    <w:rsid w:val="00512334"/>
    <w:rsid w:val="00513CB5"/>
    <w:rsid w:val="00514C75"/>
    <w:rsid w:val="00514F4A"/>
    <w:rsid w:val="005237E3"/>
    <w:rsid w:val="00525256"/>
    <w:rsid w:val="005268B3"/>
    <w:rsid w:val="005272E1"/>
    <w:rsid w:val="00531940"/>
    <w:rsid w:val="005338A4"/>
    <w:rsid w:val="005373F6"/>
    <w:rsid w:val="005376A8"/>
    <w:rsid w:val="005417A3"/>
    <w:rsid w:val="005418CD"/>
    <w:rsid w:val="00545910"/>
    <w:rsid w:val="005517D3"/>
    <w:rsid w:val="00551B48"/>
    <w:rsid w:val="00551DA6"/>
    <w:rsid w:val="0055263B"/>
    <w:rsid w:val="0055304C"/>
    <w:rsid w:val="00553E22"/>
    <w:rsid w:val="005551EC"/>
    <w:rsid w:val="00560E76"/>
    <w:rsid w:val="00562B2D"/>
    <w:rsid w:val="00562BD1"/>
    <w:rsid w:val="00565C81"/>
    <w:rsid w:val="00566A79"/>
    <w:rsid w:val="005673D0"/>
    <w:rsid w:val="005701BB"/>
    <w:rsid w:val="00570ADE"/>
    <w:rsid w:val="00571FE7"/>
    <w:rsid w:val="00572A00"/>
    <w:rsid w:val="00574014"/>
    <w:rsid w:val="00574652"/>
    <w:rsid w:val="00576010"/>
    <w:rsid w:val="00576583"/>
    <w:rsid w:val="005772EB"/>
    <w:rsid w:val="00577CD6"/>
    <w:rsid w:val="00580E18"/>
    <w:rsid w:val="00580E77"/>
    <w:rsid w:val="005829EE"/>
    <w:rsid w:val="00583E79"/>
    <w:rsid w:val="0058400F"/>
    <w:rsid w:val="00585E1D"/>
    <w:rsid w:val="00590FF9"/>
    <w:rsid w:val="00591A36"/>
    <w:rsid w:val="00593CEE"/>
    <w:rsid w:val="005940D2"/>
    <w:rsid w:val="00596312"/>
    <w:rsid w:val="00596708"/>
    <w:rsid w:val="005970A6"/>
    <w:rsid w:val="005973EB"/>
    <w:rsid w:val="005A0F30"/>
    <w:rsid w:val="005A1118"/>
    <w:rsid w:val="005A1CC5"/>
    <w:rsid w:val="005A2A15"/>
    <w:rsid w:val="005B2338"/>
    <w:rsid w:val="005B2C16"/>
    <w:rsid w:val="005B3856"/>
    <w:rsid w:val="005B3BAA"/>
    <w:rsid w:val="005B4481"/>
    <w:rsid w:val="005B5AE1"/>
    <w:rsid w:val="005B68EC"/>
    <w:rsid w:val="005B6A02"/>
    <w:rsid w:val="005B7391"/>
    <w:rsid w:val="005B778F"/>
    <w:rsid w:val="005C1C44"/>
    <w:rsid w:val="005C3B37"/>
    <w:rsid w:val="005C4066"/>
    <w:rsid w:val="005C40DB"/>
    <w:rsid w:val="005D0B01"/>
    <w:rsid w:val="005D1058"/>
    <w:rsid w:val="005D19DC"/>
    <w:rsid w:val="005D1A89"/>
    <w:rsid w:val="005D1F97"/>
    <w:rsid w:val="005D28D7"/>
    <w:rsid w:val="005D637B"/>
    <w:rsid w:val="005D778E"/>
    <w:rsid w:val="005D7F5E"/>
    <w:rsid w:val="005E0B73"/>
    <w:rsid w:val="005E1469"/>
    <w:rsid w:val="005E336D"/>
    <w:rsid w:val="005E35CA"/>
    <w:rsid w:val="005E4BBE"/>
    <w:rsid w:val="005E52BE"/>
    <w:rsid w:val="005E5AC3"/>
    <w:rsid w:val="005E713B"/>
    <w:rsid w:val="005E79D2"/>
    <w:rsid w:val="005F3257"/>
    <w:rsid w:val="005F37D4"/>
    <w:rsid w:val="005F461B"/>
    <w:rsid w:val="005F60BF"/>
    <w:rsid w:val="005F6730"/>
    <w:rsid w:val="005F68E3"/>
    <w:rsid w:val="005F7413"/>
    <w:rsid w:val="00600DBD"/>
    <w:rsid w:val="00602E18"/>
    <w:rsid w:val="00603487"/>
    <w:rsid w:val="00603519"/>
    <w:rsid w:val="006043F7"/>
    <w:rsid w:val="0060507C"/>
    <w:rsid w:val="00605EC0"/>
    <w:rsid w:val="00606ECF"/>
    <w:rsid w:val="006123A7"/>
    <w:rsid w:val="0061316C"/>
    <w:rsid w:val="006144D7"/>
    <w:rsid w:val="0061476B"/>
    <w:rsid w:val="00614D53"/>
    <w:rsid w:val="00617EC4"/>
    <w:rsid w:val="00621FD1"/>
    <w:rsid w:val="00622482"/>
    <w:rsid w:val="0062320C"/>
    <w:rsid w:val="00625C11"/>
    <w:rsid w:val="00625EE5"/>
    <w:rsid w:val="00627F7E"/>
    <w:rsid w:val="00632AA1"/>
    <w:rsid w:val="00634BDC"/>
    <w:rsid w:val="00634F50"/>
    <w:rsid w:val="006354BE"/>
    <w:rsid w:val="00635B2D"/>
    <w:rsid w:val="00635CAA"/>
    <w:rsid w:val="00641E69"/>
    <w:rsid w:val="00646FCA"/>
    <w:rsid w:val="00650ACB"/>
    <w:rsid w:val="00653C0B"/>
    <w:rsid w:val="00654A1F"/>
    <w:rsid w:val="00656ACD"/>
    <w:rsid w:val="00656B50"/>
    <w:rsid w:val="0066236C"/>
    <w:rsid w:val="00665A81"/>
    <w:rsid w:val="00665C59"/>
    <w:rsid w:val="006706D7"/>
    <w:rsid w:val="006715AF"/>
    <w:rsid w:val="00672D7B"/>
    <w:rsid w:val="006742A3"/>
    <w:rsid w:val="00675247"/>
    <w:rsid w:val="00675E06"/>
    <w:rsid w:val="00677E58"/>
    <w:rsid w:val="00680B13"/>
    <w:rsid w:val="00681D35"/>
    <w:rsid w:val="00683420"/>
    <w:rsid w:val="00692113"/>
    <w:rsid w:val="00694C3A"/>
    <w:rsid w:val="0069506C"/>
    <w:rsid w:val="006A168C"/>
    <w:rsid w:val="006A42AF"/>
    <w:rsid w:val="006A7E86"/>
    <w:rsid w:val="006A7F48"/>
    <w:rsid w:val="006A7FA1"/>
    <w:rsid w:val="006B103D"/>
    <w:rsid w:val="006B11EA"/>
    <w:rsid w:val="006B1AB1"/>
    <w:rsid w:val="006B1B9B"/>
    <w:rsid w:val="006B2C34"/>
    <w:rsid w:val="006B5E52"/>
    <w:rsid w:val="006B60FE"/>
    <w:rsid w:val="006B76C5"/>
    <w:rsid w:val="006B78E2"/>
    <w:rsid w:val="006C0736"/>
    <w:rsid w:val="006C1DC0"/>
    <w:rsid w:val="006C4F52"/>
    <w:rsid w:val="006C598B"/>
    <w:rsid w:val="006C5CB3"/>
    <w:rsid w:val="006D15D6"/>
    <w:rsid w:val="006D1A9D"/>
    <w:rsid w:val="006D2CC5"/>
    <w:rsid w:val="006D4A95"/>
    <w:rsid w:val="006D5FB9"/>
    <w:rsid w:val="006D6F9B"/>
    <w:rsid w:val="006E0A74"/>
    <w:rsid w:val="006E0BFC"/>
    <w:rsid w:val="006E15E9"/>
    <w:rsid w:val="006E2F13"/>
    <w:rsid w:val="006E30B7"/>
    <w:rsid w:val="006E4A34"/>
    <w:rsid w:val="006E5BA7"/>
    <w:rsid w:val="006E5D1B"/>
    <w:rsid w:val="006E7C5D"/>
    <w:rsid w:val="006E7F43"/>
    <w:rsid w:val="006F077C"/>
    <w:rsid w:val="006F0A3C"/>
    <w:rsid w:val="006F258D"/>
    <w:rsid w:val="006F2636"/>
    <w:rsid w:val="006F27B2"/>
    <w:rsid w:val="006F3002"/>
    <w:rsid w:val="006F4F55"/>
    <w:rsid w:val="006F6B6C"/>
    <w:rsid w:val="006F7109"/>
    <w:rsid w:val="006F71CE"/>
    <w:rsid w:val="007024BA"/>
    <w:rsid w:val="00702EC1"/>
    <w:rsid w:val="00704512"/>
    <w:rsid w:val="00705861"/>
    <w:rsid w:val="007068A2"/>
    <w:rsid w:val="0070738A"/>
    <w:rsid w:val="00707448"/>
    <w:rsid w:val="007116DC"/>
    <w:rsid w:val="00712B3A"/>
    <w:rsid w:val="007130C6"/>
    <w:rsid w:val="00715921"/>
    <w:rsid w:val="007161C9"/>
    <w:rsid w:val="007166BB"/>
    <w:rsid w:val="00716E03"/>
    <w:rsid w:val="007172F5"/>
    <w:rsid w:val="00717557"/>
    <w:rsid w:val="007227A4"/>
    <w:rsid w:val="007238B1"/>
    <w:rsid w:val="00723DD3"/>
    <w:rsid w:val="007247CA"/>
    <w:rsid w:val="0072792A"/>
    <w:rsid w:val="007313C7"/>
    <w:rsid w:val="0073209A"/>
    <w:rsid w:val="00734A27"/>
    <w:rsid w:val="00735D9D"/>
    <w:rsid w:val="00737385"/>
    <w:rsid w:val="007406AB"/>
    <w:rsid w:val="00741E50"/>
    <w:rsid w:val="00742DE2"/>
    <w:rsid w:val="007433C5"/>
    <w:rsid w:val="007433E6"/>
    <w:rsid w:val="0074571A"/>
    <w:rsid w:val="00745AAD"/>
    <w:rsid w:val="00746D86"/>
    <w:rsid w:val="00747188"/>
    <w:rsid w:val="00747E2F"/>
    <w:rsid w:val="00750AE9"/>
    <w:rsid w:val="00751E0B"/>
    <w:rsid w:val="007526E9"/>
    <w:rsid w:val="00756684"/>
    <w:rsid w:val="00756C38"/>
    <w:rsid w:val="00765131"/>
    <w:rsid w:val="007665EB"/>
    <w:rsid w:val="00767AC1"/>
    <w:rsid w:val="00770363"/>
    <w:rsid w:val="00773B90"/>
    <w:rsid w:val="00775516"/>
    <w:rsid w:val="007802AC"/>
    <w:rsid w:val="007803BB"/>
    <w:rsid w:val="00780B53"/>
    <w:rsid w:val="007812A0"/>
    <w:rsid w:val="00781D77"/>
    <w:rsid w:val="00783575"/>
    <w:rsid w:val="00785C2A"/>
    <w:rsid w:val="007864D3"/>
    <w:rsid w:val="007865FB"/>
    <w:rsid w:val="00787A5F"/>
    <w:rsid w:val="00787F8C"/>
    <w:rsid w:val="00793BA7"/>
    <w:rsid w:val="00796D66"/>
    <w:rsid w:val="00796F3F"/>
    <w:rsid w:val="00797F0B"/>
    <w:rsid w:val="007A09C1"/>
    <w:rsid w:val="007A19CE"/>
    <w:rsid w:val="007A270E"/>
    <w:rsid w:val="007A2D50"/>
    <w:rsid w:val="007A3E7E"/>
    <w:rsid w:val="007A7DCD"/>
    <w:rsid w:val="007B207F"/>
    <w:rsid w:val="007B4DDB"/>
    <w:rsid w:val="007B51AD"/>
    <w:rsid w:val="007B5ECA"/>
    <w:rsid w:val="007B67A3"/>
    <w:rsid w:val="007B77E6"/>
    <w:rsid w:val="007B7A76"/>
    <w:rsid w:val="007C02EB"/>
    <w:rsid w:val="007C1825"/>
    <w:rsid w:val="007C1C20"/>
    <w:rsid w:val="007C31D8"/>
    <w:rsid w:val="007C3BB2"/>
    <w:rsid w:val="007C72D7"/>
    <w:rsid w:val="007D06FB"/>
    <w:rsid w:val="007D0A49"/>
    <w:rsid w:val="007D132E"/>
    <w:rsid w:val="007D292F"/>
    <w:rsid w:val="007D4B99"/>
    <w:rsid w:val="007D52D5"/>
    <w:rsid w:val="007D7937"/>
    <w:rsid w:val="007D7B94"/>
    <w:rsid w:val="007E0A34"/>
    <w:rsid w:val="007E18EA"/>
    <w:rsid w:val="007E3951"/>
    <w:rsid w:val="007F2C3E"/>
    <w:rsid w:val="007F354D"/>
    <w:rsid w:val="007F37F7"/>
    <w:rsid w:val="007F4B5A"/>
    <w:rsid w:val="007F4E05"/>
    <w:rsid w:val="007F6802"/>
    <w:rsid w:val="00800005"/>
    <w:rsid w:val="0080094E"/>
    <w:rsid w:val="00800CCC"/>
    <w:rsid w:val="00801357"/>
    <w:rsid w:val="00803771"/>
    <w:rsid w:val="0080456B"/>
    <w:rsid w:val="00805681"/>
    <w:rsid w:val="00810086"/>
    <w:rsid w:val="0081015A"/>
    <w:rsid w:val="0081191C"/>
    <w:rsid w:val="0081221D"/>
    <w:rsid w:val="00815C6F"/>
    <w:rsid w:val="008161FC"/>
    <w:rsid w:val="00816F67"/>
    <w:rsid w:val="00821F83"/>
    <w:rsid w:val="00823A8C"/>
    <w:rsid w:val="00830250"/>
    <w:rsid w:val="00830C82"/>
    <w:rsid w:val="00832112"/>
    <w:rsid w:val="0083352E"/>
    <w:rsid w:val="008346F2"/>
    <w:rsid w:val="00840414"/>
    <w:rsid w:val="008418AE"/>
    <w:rsid w:val="008429C2"/>
    <w:rsid w:val="00843B8B"/>
    <w:rsid w:val="008440D1"/>
    <w:rsid w:val="00852367"/>
    <w:rsid w:val="008536C4"/>
    <w:rsid w:val="0085537A"/>
    <w:rsid w:val="00857229"/>
    <w:rsid w:val="00857486"/>
    <w:rsid w:val="00860B94"/>
    <w:rsid w:val="008627C0"/>
    <w:rsid w:val="00862876"/>
    <w:rsid w:val="00862C4E"/>
    <w:rsid w:val="00865679"/>
    <w:rsid w:val="008676AD"/>
    <w:rsid w:val="00867A5D"/>
    <w:rsid w:val="00872BFB"/>
    <w:rsid w:val="00873128"/>
    <w:rsid w:val="00874AFA"/>
    <w:rsid w:val="00874B0C"/>
    <w:rsid w:val="00876CE4"/>
    <w:rsid w:val="008817FF"/>
    <w:rsid w:val="0088414C"/>
    <w:rsid w:val="0089275E"/>
    <w:rsid w:val="00893FCA"/>
    <w:rsid w:val="00897FA8"/>
    <w:rsid w:val="008A2703"/>
    <w:rsid w:val="008A3116"/>
    <w:rsid w:val="008A4EB0"/>
    <w:rsid w:val="008A50D9"/>
    <w:rsid w:val="008A68D2"/>
    <w:rsid w:val="008A77D3"/>
    <w:rsid w:val="008B10C3"/>
    <w:rsid w:val="008B1139"/>
    <w:rsid w:val="008B479F"/>
    <w:rsid w:val="008B759A"/>
    <w:rsid w:val="008B7EEF"/>
    <w:rsid w:val="008C0683"/>
    <w:rsid w:val="008C1E8B"/>
    <w:rsid w:val="008C3915"/>
    <w:rsid w:val="008C4936"/>
    <w:rsid w:val="008C497A"/>
    <w:rsid w:val="008C5136"/>
    <w:rsid w:val="008D0B68"/>
    <w:rsid w:val="008D189E"/>
    <w:rsid w:val="008D1E39"/>
    <w:rsid w:val="008D25E1"/>
    <w:rsid w:val="008D2AC8"/>
    <w:rsid w:val="008D30B5"/>
    <w:rsid w:val="008D5443"/>
    <w:rsid w:val="008D5EAE"/>
    <w:rsid w:val="008D61C3"/>
    <w:rsid w:val="008D7AEC"/>
    <w:rsid w:val="008E002F"/>
    <w:rsid w:val="008E429B"/>
    <w:rsid w:val="008E5298"/>
    <w:rsid w:val="008E5F5F"/>
    <w:rsid w:val="008E649B"/>
    <w:rsid w:val="008E7578"/>
    <w:rsid w:val="008F20E0"/>
    <w:rsid w:val="008F2635"/>
    <w:rsid w:val="008F4140"/>
    <w:rsid w:val="008F4EA4"/>
    <w:rsid w:val="008F6F8F"/>
    <w:rsid w:val="009003FA"/>
    <w:rsid w:val="009005AC"/>
    <w:rsid w:val="00900724"/>
    <w:rsid w:val="00901108"/>
    <w:rsid w:val="009029F8"/>
    <w:rsid w:val="00902A4D"/>
    <w:rsid w:val="00902D5C"/>
    <w:rsid w:val="009076A9"/>
    <w:rsid w:val="00910661"/>
    <w:rsid w:val="00911F9D"/>
    <w:rsid w:val="0091371E"/>
    <w:rsid w:val="009174C5"/>
    <w:rsid w:val="00917EB5"/>
    <w:rsid w:val="009209F7"/>
    <w:rsid w:val="00922304"/>
    <w:rsid w:val="00923E3A"/>
    <w:rsid w:val="00925089"/>
    <w:rsid w:val="00925D52"/>
    <w:rsid w:val="00926839"/>
    <w:rsid w:val="0092789E"/>
    <w:rsid w:val="009308F9"/>
    <w:rsid w:val="009318CD"/>
    <w:rsid w:val="00937506"/>
    <w:rsid w:val="00942FD9"/>
    <w:rsid w:val="0094420C"/>
    <w:rsid w:val="00944B80"/>
    <w:rsid w:val="00944E1A"/>
    <w:rsid w:val="00944F2E"/>
    <w:rsid w:val="009468FC"/>
    <w:rsid w:val="00947CEE"/>
    <w:rsid w:val="00951C2D"/>
    <w:rsid w:val="00951EB5"/>
    <w:rsid w:val="009536AA"/>
    <w:rsid w:val="00953B9C"/>
    <w:rsid w:val="009540C3"/>
    <w:rsid w:val="00954E9C"/>
    <w:rsid w:val="0095523A"/>
    <w:rsid w:val="00955789"/>
    <w:rsid w:val="00956256"/>
    <w:rsid w:val="00957AE8"/>
    <w:rsid w:val="00960902"/>
    <w:rsid w:val="009641DC"/>
    <w:rsid w:val="00970C1D"/>
    <w:rsid w:val="0097100F"/>
    <w:rsid w:val="0097195F"/>
    <w:rsid w:val="00971A21"/>
    <w:rsid w:val="00972339"/>
    <w:rsid w:val="0097345F"/>
    <w:rsid w:val="00974ABE"/>
    <w:rsid w:val="00974CDD"/>
    <w:rsid w:val="00975AC3"/>
    <w:rsid w:val="0097609C"/>
    <w:rsid w:val="0097769C"/>
    <w:rsid w:val="00977F8B"/>
    <w:rsid w:val="00990C54"/>
    <w:rsid w:val="00990FD3"/>
    <w:rsid w:val="00991C3F"/>
    <w:rsid w:val="009922F7"/>
    <w:rsid w:val="009933AA"/>
    <w:rsid w:val="009939C8"/>
    <w:rsid w:val="00995E8A"/>
    <w:rsid w:val="009965CD"/>
    <w:rsid w:val="0099735D"/>
    <w:rsid w:val="009A04E1"/>
    <w:rsid w:val="009A43E9"/>
    <w:rsid w:val="009A6CE3"/>
    <w:rsid w:val="009A7E60"/>
    <w:rsid w:val="009B02C1"/>
    <w:rsid w:val="009B0C7E"/>
    <w:rsid w:val="009B44A3"/>
    <w:rsid w:val="009B5C7D"/>
    <w:rsid w:val="009C0104"/>
    <w:rsid w:val="009C0821"/>
    <w:rsid w:val="009C2EF5"/>
    <w:rsid w:val="009C312A"/>
    <w:rsid w:val="009C51C9"/>
    <w:rsid w:val="009C6BFD"/>
    <w:rsid w:val="009D15D0"/>
    <w:rsid w:val="009D1883"/>
    <w:rsid w:val="009D1974"/>
    <w:rsid w:val="009D3FBB"/>
    <w:rsid w:val="009D5939"/>
    <w:rsid w:val="009D628D"/>
    <w:rsid w:val="009D630E"/>
    <w:rsid w:val="009E1D19"/>
    <w:rsid w:val="009E25E6"/>
    <w:rsid w:val="009E4519"/>
    <w:rsid w:val="009E4A2F"/>
    <w:rsid w:val="009E5215"/>
    <w:rsid w:val="009E55BB"/>
    <w:rsid w:val="009E5DD1"/>
    <w:rsid w:val="009E78DA"/>
    <w:rsid w:val="009F0B01"/>
    <w:rsid w:val="009F206A"/>
    <w:rsid w:val="009F2BAA"/>
    <w:rsid w:val="009F2FD6"/>
    <w:rsid w:val="009F50DA"/>
    <w:rsid w:val="009F608D"/>
    <w:rsid w:val="00A00670"/>
    <w:rsid w:val="00A010AC"/>
    <w:rsid w:val="00A02429"/>
    <w:rsid w:val="00A0435B"/>
    <w:rsid w:val="00A05486"/>
    <w:rsid w:val="00A109F6"/>
    <w:rsid w:val="00A12051"/>
    <w:rsid w:val="00A12DC9"/>
    <w:rsid w:val="00A13054"/>
    <w:rsid w:val="00A15FFC"/>
    <w:rsid w:val="00A164B5"/>
    <w:rsid w:val="00A21AEB"/>
    <w:rsid w:val="00A23127"/>
    <w:rsid w:val="00A24166"/>
    <w:rsid w:val="00A24BDF"/>
    <w:rsid w:val="00A32692"/>
    <w:rsid w:val="00A36546"/>
    <w:rsid w:val="00A40E18"/>
    <w:rsid w:val="00A4404C"/>
    <w:rsid w:val="00A44B33"/>
    <w:rsid w:val="00A459F4"/>
    <w:rsid w:val="00A47446"/>
    <w:rsid w:val="00A5082B"/>
    <w:rsid w:val="00A5119B"/>
    <w:rsid w:val="00A52508"/>
    <w:rsid w:val="00A55714"/>
    <w:rsid w:val="00A56A98"/>
    <w:rsid w:val="00A57A89"/>
    <w:rsid w:val="00A57AAC"/>
    <w:rsid w:val="00A62E6C"/>
    <w:rsid w:val="00A65C5D"/>
    <w:rsid w:val="00A66D7B"/>
    <w:rsid w:val="00A674F0"/>
    <w:rsid w:val="00A67986"/>
    <w:rsid w:val="00A71A5D"/>
    <w:rsid w:val="00A72CAE"/>
    <w:rsid w:val="00A7314A"/>
    <w:rsid w:val="00A73958"/>
    <w:rsid w:val="00A73F7C"/>
    <w:rsid w:val="00A756AB"/>
    <w:rsid w:val="00A7580D"/>
    <w:rsid w:val="00A77414"/>
    <w:rsid w:val="00A83656"/>
    <w:rsid w:val="00A84856"/>
    <w:rsid w:val="00A84969"/>
    <w:rsid w:val="00A85CAC"/>
    <w:rsid w:val="00A86DDB"/>
    <w:rsid w:val="00A902D2"/>
    <w:rsid w:val="00A90BC4"/>
    <w:rsid w:val="00A90F7A"/>
    <w:rsid w:val="00A920E2"/>
    <w:rsid w:val="00A9403E"/>
    <w:rsid w:val="00A9424D"/>
    <w:rsid w:val="00A944BC"/>
    <w:rsid w:val="00A96381"/>
    <w:rsid w:val="00A96620"/>
    <w:rsid w:val="00A9785B"/>
    <w:rsid w:val="00AA269C"/>
    <w:rsid w:val="00AA47C9"/>
    <w:rsid w:val="00AA566C"/>
    <w:rsid w:val="00AA62FC"/>
    <w:rsid w:val="00AB21AB"/>
    <w:rsid w:val="00AB24E5"/>
    <w:rsid w:val="00AB29AB"/>
    <w:rsid w:val="00AB3906"/>
    <w:rsid w:val="00AB43B0"/>
    <w:rsid w:val="00AB64DF"/>
    <w:rsid w:val="00AB65F2"/>
    <w:rsid w:val="00AC2A63"/>
    <w:rsid w:val="00AC3B82"/>
    <w:rsid w:val="00AC4013"/>
    <w:rsid w:val="00AC798A"/>
    <w:rsid w:val="00AD1520"/>
    <w:rsid w:val="00AD1917"/>
    <w:rsid w:val="00AD1978"/>
    <w:rsid w:val="00AD1C0F"/>
    <w:rsid w:val="00AD2AE3"/>
    <w:rsid w:val="00AD3562"/>
    <w:rsid w:val="00AD38D0"/>
    <w:rsid w:val="00AD4631"/>
    <w:rsid w:val="00AD57D4"/>
    <w:rsid w:val="00AD5DFE"/>
    <w:rsid w:val="00AE1166"/>
    <w:rsid w:val="00AE16A1"/>
    <w:rsid w:val="00AE2EE4"/>
    <w:rsid w:val="00AE3020"/>
    <w:rsid w:val="00AE4CF8"/>
    <w:rsid w:val="00AE5FFC"/>
    <w:rsid w:val="00AE64A7"/>
    <w:rsid w:val="00AF01BE"/>
    <w:rsid w:val="00AF0E4E"/>
    <w:rsid w:val="00AF2A78"/>
    <w:rsid w:val="00AF2BD5"/>
    <w:rsid w:val="00AF2C5E"/>
    <w:rsid w:val="00AF3DCF"/>
    <w:rsid w:val="00AF4063"/>
    <w:rsid w:val="00B00410"/>
    <w:rsid w:val="00B01DDB"/>
    <w:rsid w:val="00B02289"/>
    <w:rsid w:val="00B0287A"/>
    <w:rsid w:val="00B03423"/>
    <w:rsid w:val="00B04A9A"/>
    <w:rsid w:val="00B11F33"/>
    <w:rsid w:val="00B1453B"/>
    <w:rsid w:val="00B1456B"/>
    <w:rsid w:val="00B1584C"/>
    <w:rsid w:val="00B17F43"/>
    <w:rsid w:val="00B22004"/>
    <w:rsid w:val="00B228D4"/>
    <w:rsid w:val="00B23275"/>
    <w:rsid w:val="00B236E6"/>
    <w:rsid w:val="00B23E4C"/>
    <w:rsid w:val="00B25C64"/>
    <w:rsid w:val="00B264CB"/>
    <w:rsid w:val="00B270B2"/>
    <w:rsid w:val="00B30134"/>
    <w:rsid w:val="00B325B8"/>
    <w:rsid w:val="00B356AD"/>
    <w:rsid w:val="00B35DDB"/>
    <w:rsid w:val="00B361E7"/>
    <w:rsid w:val="00B419B9"/>
    <w:rsid w:val="00B42485"/>
    <w:rsid w:val="00B43058"/>
    <w:rsid w:val="00B44112"/>
    <w:rsid w:val="00B442FC"/>
    <w:rsid w:val="00B473B4"/>
    <w:rsid w:val="00B51523"/>
    <w:rsid w:val="00B526E0"/>
    <w:rsid w:val="00B53198"/>
    <w:rsid w:val="00B5347B"/>
    <w:rsid w:val="00B534EF"/>
    <w:rsid w:val="00B5376D"/>
    <w:rsid w:val="00B53E03"/>
    <w:rsid w:val="00B53F51"/>
    <w:rsid w:val="00B56FA6"/>
    <w:rsid w:val="00B57A94"/>
    <w:rsid w:val="00B618B3"/>
    <w:rsid w:val="00B628F8"/>
    <w:rsid w:val="00B62E20"/>
    <w:rsid w:val="00B63C33"/>
    <w:rsid w:val="00B64635"/>
    <w:rsid w:val="00B64EA5"/>
    <w:rsid w:val="00B66153"/>
    <w:rsid w:val="00B66912"/>
    <w:rsid w:val="00B67B44"/>
    <w:rsid w:val="00B7178A"/>
    <w:rsid w:val="00B734A7"/>
    <w:rsid w:val="00B7499D"/>
    <w:rsid w:val="00B75EA5"/>
    <w:rsid w:val="00B76508"/>
    <w:rsid w:val="00B777A0"/>
    <w:rsid w:val="00B81209"/>
    <w:rsid w:val="00B81FBD"/>
    <w:rsid w:val="00B827FF"/>
    <w:rsid w:val="00B867E8"/>
    <w:rsid w:val="00B8731C"/>
    <w:rsid w:val="00B875A8"/>
    <w:rsid w:val="00B876D4"/>
    <w:rsid w:val="00B90A84"/>
    <w:rsid w:val="00B916AC"/>
    <w:rsid w:val="00B921E5"/>
    <w:rsid w:val="00B925C1"/>
    <w:rsid w:val="00B93104"/>
    <w:rsid w:val="00B933E9"/>
    <w:rsid w:val="00B9785A"/>
    <w:rsid w:val="00BA0F43"/>
    <w:rsid w:val="00BA1619"/>
    <w:rsid w:val="00BA54E2"/>
    <w:rsid w:val="00BA5FCB"/>
    <w:rsid w:val="00BA704F"/>
    <w:rsid w:val="00BA7776"/>
    <w:rsid w:val="00BB0E40"/>
    <w:rsid w:val="00BB2998"/>
    <w:rsid w:val="00BB2A67"/>
    <w:rsid w:val="00BB4B3A"/>
    <w:rsid w:val="00BB568A"/>
    <w:rsid w:val="00BB6B95"/>
    <w:rsid w:val="00BB772A"/>
    <w:rsid w:val="00BB7E83"/>
    <w:rsid w:val="00BB7FD6"/>
    <w:rsid w:val="00BC0FDE"/>
    <w:rsid w:val="00BC206C"/>
    <w:rsid w:val="00BC6366"/>
    <w:rsid w:val="00BC7698"/>
    <w:rsid w:val="00BD321B"/>
    <w:rsid w:val="00BD42B6"/>
    <w:rsid w:val="00BD46E7"/>
    <w:rsid w:val="00BD4BE0"/>
    <w:rsid w:val="00BE08D4"/>
    <w:rsid w:val="00BE279E"/>
    <w:rsid w:val="00BE3215"/>
    <w:rsid w:val="00BE4571"/>
    <w:rsid w:val="00BE7CBC"/>
    <w:rsid w:val="00BF1E60"/>
    <w:rsid w:val="00BF378F"/>
    <w:rsid w:val="00BF6054"/>
    <w:rsid w:val="00BF6783"/>
    <w:rsid w:val="00BF6CC4"/>
    <w:rsid w:val="00BF7561"/>
    <w:rsid w:val="00BF7C88"/>
    <w:rsid w:val="00C01C10"/>
    <w:rsid w:val="00C0537A"/>
    <w:rsid w:val="00C10785"/>
    <w:rsid w:val="00C11739"/>
    <w:rsid w:val="00C127B0"/>
    <w:rsid w:val="00C1328D"/>
    <w:rsid w:val="00C14357"/>
    <w:rsid w:val="00C159A8"/>
    <w:rsid w:val="00C1615B"/>
    <w:rsid w:val="00C169AE"/>
    <w:rsid w:val="00C2072A"/>
    <w:rsid w:val="00C225C2"/>
    <w:rsid w:val="00C225CF"/>
    <w:rsid w:val="00C22610"/>
    <w:rsid w:val="00C23C58"/>
    <w:rsid w:val="00C25B60"/>
    <w:rsid w:val="00C3052D"/>
    <w:rsid w:val="00C329BD"/>
    <w:rsid w:val="00C35CB1"/>
    <w:rsid w:val="00C3636F"/>
    <w:rsid w:val="00C421CC"/>
    <w:rsid w:val="00C42415"/>
    <w:rsid w:val="00C42C72"/>
    <w:rsid w:val="00C4489C"/>
    <w:rsid w:val="00C51ACE"/>
    <w:rsid w:val="00C51EE8"/>
    <w:rsid w:val="00C538F0"/>
    <w:rsid w:val="00C53C01"/>
    <w:rsid w:val="00C54894"/>
    <w:rsid w:val="00C55165"/>
    <w:rsid w:val="00C56F97"/>
    <w:rsid w:val="00C60F82"/>
    <w:rsid w:val="00C65D5F"/>
    <w:rsid w:val="00C66E2C"/>
    <w:rsid w:val="00C67635"/>
    <w:rsid w:val="00C7061F"/>
    <w:rsid w:val="00C716AC"/>
    <w:rsid w:val="00C73F09"/>
    <w:rsid w:val="00C76929"/>
    <w:rsid w:val="00C85589"/>
    <w:rsid w:val="00C902E9"/>
    <w:rsid w:val="00C910F6"/>
    <w:rsid w:val="00C92F6C"/>
    <w:rsid w:val="00C957EA"/>
    <w:rsid w:val="00C96513"/>
    <w:rsid w:val="00C97555"/>
    <w:rsid w:val="00C977A2"/>
    <w:rsid w:val="00C97DD9"/>
    <w:rsid w:val="00C97DF1"/>
    <w:rsid w:val="00CA10A1"/>
    <w:rsid w:val="00CA2E51"/>
    <w:rsid w:val="00CA3F22"/>
    <w:rsid w:val="00CA4115"/>
    <w:rsid w:val="00CA4C1A"/>
    <w:rsid w:val="00CA5A73"/>
    <w:rsid w:val="00CA60C7"/>
    <w:rsid w:val="00CB3182"/>
    <w:rsid w:val="00CB38EB"/>
    <w:rsid w:val="00CB4A1D"/>
    <w:rsid w:val="00CB5E45"/>
    <w:rsid w:val="00CB6E8A"/>
    <w:rsid w:val="00CC279E"/>
    <w:rsid w:val="00CC3123"/>
    <w:rsid w:val="00CC5C1D"/>
    <w:rsid w:val="00CC5F67"/>
    <w:rsid w:val="00CD0050"/>
    <w:rsid w:val="00CD25B5"/>
    <w:rsid w:val="00CD355B"/>
    <w:rsid w:val="00CD36E7"/>
    <w:rsid w:val="00CD3F27"/>
    <w:rsid w:val="00CD4132"/>
    <w:rsid w:val="00CD58FC"/>
    <w:rsid w:val="00CE0633"/>
    <w:rsid w:val="00CE1367"/>
    <w:rsid w:val="00CE1D6C"/>
    <w:rsid w:val="00CE1E80"/>
    <w:rsid w:val="00CE2F8D"/>
    <w:rsid w:val="00CE5453"/>
    <w:rsid w:val="00CE70D1"/>
    <w:rsid w:val="00CF1C1E"/>
    <w:rsid w:val="00CF2ACD"/>
    <w:rsid w:val="00CF3EE5"/>
    <w:rsid w:val="00CF3FE6"/>
    <w:rsid w:val="00CF5AC3"/>
    <w:rsid w:val="00CF6F7C"/>
    <w:rsid w:val="00CF70E0"/>
    <w:rsid w:val="00D002DC"/>
    <w:rsid w:val="00D00A65"/>
    <w:rsid w:val="00D00BA4"/>
    <w:rsid w:val="00D00F71"/>
    <w:rsid w:val="00D011FB"/>
    <w:rsid w:val="00D04C62"/>
    <w:rsid w:val="00D04EE1"/>
    <w:rsid w:val="00D065C7"/>
    <w:rsid w:val="00D1153D"/>
    <w:rsid w:val="00D11B1A"/>
    <w:rsid w:val="00D11DEE"/>
    <w:rsid w:val="00D132FA"/>
    <w:rsid w:val="00D143BA"/>
    <w:rsid w:val="00D15512"/>
    <w:rsid w:val="00D16808"/>
    <w:rsid w:val="00D169C7"/>
    <w:rsid w:val="00D16DCF"/>
    <w:rsid w:val="00D21F27"/>
    <w:rsid w:val="00D2230A"/>
    <w:rsid w:val="00D22956"/>
    <w:rsid w:val="00D23F2A"/>
    <w:rsid w:val="00D2411D"/>
    <w:rsid w:val="00D2623F"/>
    <w:rsid w:val="00D2675C"/>
    <w:rsid w:val="00D27595"/>
    <w:rsid w:val="00D30B54"/>
    <w:rsid w:val="00D31B6B"/>
    <w:rsid w:val="00D329E8"/>
    <w:rsid w:val="00D33B20"/>
    <w:rsid w:val="00D3496E"/>
    <w:rsid w:val="00D35A60"/>
    <w:rsid w:val="00D36F0F"/>
    <w:rsid w:val="00D420DD"/>
    <w:rsid w:val="00D42311"/>
    <w:rsid w:val="00D43DC6"/>
    <w:rsid w:val="00D44079"/>
    <w:rsid w:val="00D46C2F"/>
    <w:rsid w:val="00D47449"/>
    <w:rsid w:val="00D476E1"/>
    <w:rsid w:val="00D51476"/>
    <w:rsid w:val="00D51ED5"/>
    <w:rsid w:val="00D52642"/>
    <w:rsid w:val="00D56410"/>
    <w:rsid w:val="00D56BD3"/>
    <w:rsid w:val="00D635CA"/>
    <w:rsid w:val="00D64083"/>
    <w:rsid w:val="00D651EF"/>
    <w:rsid w:val="00D66136"/>
    <w:rsid w:val="00D6676D"/>
    <w:rsid w:val="00D66B22"/>
    <w:rsid w:val="00D6777E"/>
    <w:rsid w:val="00D67CDA"/>
    <w:rsid w:val="00D70088"/>
    <w:rsid w:val="00D70D36"/>
    <w:rsid w:val="00D814E4"/>
    <w:rsid w:val="00D84349"/>
    <w:rsid w:val="00D902E7"/>
    <w:rsid w:val="00D90619"/>
    <w:rsid w:val="00D933D7"/>
    <w:rsid w:val="00D959F9"/>
    <w:rsid w:val="00D95B85"/>
    <w:rsid w:val="00D9689B"/>
    <w:rsid w:val="00D97724"/>
    <w:rsid w:val="00D97BB9"/>
    <w:rsid w:val="00DA20A3"/>
    <w:rsid w:val="00DA58F6"/>
    <w:rsid w:val="00DB2689"/>
    <w:rsid w:val="00DB3746"/>
    <w:rsid w:val="00DB4C27"/>
    <w:rsid w:val="00DB5D46"/>
    <w:rsid w:val="00DB66CB"/>
    <w:rsid w:val="00DB7863"/>
    <w:rsid w:val="00DB78D6"/>
    <w:rsid w:val="00DC040D"/>
    <w:rsid w:val="00DC2BB4"/>
    <w:rsid w:val="00DD08BF"/>
    <w:rsid w:val="00DD4A02"/>
    <w:rsid w:val="00DD6A57"/>
    <w:rsid w:val="00DE02EB"/>
    <w:rsid w:val="00DE0FC3"/>
    <w:rsid w:val="00DE1E7C"/>
    <w:rsid w:val="00DE1EEA"/>
    <w:rsid w:val="00DE1F23"/>
    <w:rsid w:val="00DE27BC"/>
    <w:rsid w:val="00DE44AC"/>
    <w:rsid w:val="00DE4611"/>
    <w:rsid w:val="00DE64EB"/>
    <w:rsid w:val="00DE6BD3"/>
    <w:rsid w:val="00DE6E88"/>
    <w:rsid w:val="00DE7AAF"/>
    <w:rsid w:val="00DE7C40"/>
    <w:rsid w:val="00DF07BF"/>
    <w:rsid w:val="00DF18E2"/>
    <w:rsid w:val="00DF3733"/>
    <w:rsid w:val="00DF6029"/>
    <w:rsid w:val="00DF6317"/>
    <w:rsid w:val="00E01AFD"/>
    <w:rsid w:val="00E01B2E"/>
    <w:rsid w:val="00E029EF"/>
    <w:rsid w:val="00E03966"/>
    <w:rsid w:val="00E03C20"/>
    <w:rsid w:val="00E13255"/>
    <w:rsid w:val="00E17E5A"/>
    <w:rsid w:val="00E24B6B"/>
    <w:rsid w:val="00E259C5"/>
    <w:rsid w:val="00E26D69"/>
    <w:rsid w:val="00E27F4F"/>
    <w:rsid w:val="00E30CF8"/>
    <w:rsid w:val="00E30E69"/>
    <w:rsid w:val="00E3134E"/>
    <w:rsid w:val="00E32890"/>
    <w:rsid w:val="00E33886"/>
    <w:rsid w:val="00E33ED7"/>
    <w:rsid w:val="00E3420E"/>
    <w:rsid w:val="00E34931"/>
    <w:rsid w:val="00E35A27"/>
    <w:rsid w:val="00E35BCC"/>
    <w:rsid w:val="00E4006C"/>
    <w:rsid w:val="00E40E76"/>
    <w:rsid w:val="00E41409"/>
    <w:rsid w:val="00E42BC2"/>
    <w:rsid w:val="00E45BDA"/>
    <w:rsid w:val="00E505D3"/>
    <w:rsid w:val="00E5095B"/>
    <w:rsid w:val="00E5208D"/>
    <w:rsid w:val="00E526F1"/>
    <w:rsid w:val="00E53783"/>
    <w:rsid w:val="00E54F33"/>
    <w:rsid w:val="00E57C92"/>
    <w:rsid w:val="00E626D7"/>
    <w:rsid w:val="00E62EFF"/>
    <w:rsid w:val="00E63C1E"/>
    <w:rsid w:val="00E6519E"/>
    <w:rsid w:val="00E66339"/>
    <w:rsid w:val="00E70C39"/>
    <w:rsid w:val="00E775E2"/>
    <w:rsid w:val="00E80E35"/>
    <w:rsid w:val="00E855E4"/>
    <w:rsid w:val="00E85842"/>
    <w:rsid w:val="00E86239"/>
    <w:rsid w:val="00E86377"/>
    <w:rsid w:val="00E87E31"/>
    <w:rsid w:val="00E92B15"/>
    <w:rsid w:val="00E92C21"/>
    <w:rsid w:val="00E93373"/>
    <w:rsid w:val="00E97F35"/>
    <w:rsid w:val="00EA0DAA"/>
    <w:rsid w:val="00EA216D"/>
    <w:rsid w:val="00EA43E7"/>
    <w:rsid w:val="00EA501B"/>
    <w:rsid w:val="00EA6A49"/>
    <w:rsid w:val="00EB0AC7"/>
    <w:rsid w:val="00EB0C8C"/>
    <w:rsid w:val="00EB1B59"/>
    <w:rsid w:val="00EB34FC"/>
    <w:rsid w:val="00EB5317"/>
    <w:rsid w:val="00EB770C"/>
    <w:rsid w:val="00EC1151"/>
    <w:rsid w:val="00EC1425"/>
    <w:rsid w:val="00EC233E"/>
    <w:rsid w:val="00EC44F1"/>
    <w:rsid w:val="00EC7D2B"/>
    <w:rsid w:val="00ED31CD"/>
    <w:rsid w:val="00ED40FB"/>
    <w:rsid w:val="00ED4D51"/>
    <w:rsid w:val="00EE347E"/>
    <w:rsid w:val="00EE4B33"/>
    <w:rsid w:val="00EE758E"/>
    <w:rsid w:val="00EE75E3"/>
    <w:rsid w:val="00EF016C"/>
    <w:rsid w:val="00EF0F9D"/>
    <w:rsid w:val="00EF2FC8"/>
    <w:rsid w:val="00EF4F2B"/>
    <w:rsid w:val="00EF6F40"/>
    <w:rsid w:val="00EF70A8"/>
    <w:rsid w:val="00EF72EF"/>
    <w:rsid w:val="00EF7AA6"/>
    <w:rsid w:val="00F0308A"/>
    <w:rsid w:val="00F0370E"/>
    <w:rsid w:val="00F03D03"/>
    <w:rsid w:val="00F03EA8"/>
    <w:rsid w:val="00F044AB"/>
    <w:rsid w:val="00F045B9"/>
    <w:rsid w:val="00F04F45"/>
    <w:rsid w:val="00F0536D"/>
    <w:rsid w:val="00F05B14"/>
    <w:rsid w:val="00F06CD0"/>
    <w:rsid w:val="00F06E97"/>
    <w:rsid w:val="00F1103B"/>
    <w:rsid w:val="00F11C28"/>
    <w:rsid w:val="00F11DCD"/>
    <w:rsid w:val="00F12590"/>
    <w:rsid w:val="00F14AA1"/>
    <w:rsid w:val="00F176E8"/>
    <w:rsid w:val="00F2643E"/>
    <w:rsid w:val="00F3254D"/>
    <w:rsid w:val="00F33551"/>
    <w:rsid w:val="00F35D96"/>
    <w:rsid w:val="00F37754"/>
    <w:rsid w:val="00F4287F"/>
    <w:rsid w:val="00F44CD7"/>
    <w:rsid w:val="00F45276"/>
    <w:rsid w:val="00F462DD"/>
    <w:rsid w:val="00F50887"/>
    <w:rsid w:val="00F535CA"/>
    <w:rsid w:val="00F567D0"/>
    <w:rsid w:val="00F57016"/>
    <w:rsid w:val="00F62604"/>
    <w:rsid w:val="00F64840"/>
    <w:rsid w:val="00F6537D"/>
    <w:rsid w:val="00F678F7"/>
    <w:rsid w:val="00F679B8"/>
    <w:rsid w:val="00F72165"/>
    <w:rsid w:val="00F7395C"/>
    <w:rsid w:val="00F76722"/>
    <w:rsid w:val="00F80D81"/>
    <w:rsid w:val="00F833C5"/>
    <w:rsid w:val="00F8634F"/>
    <w:rsid w:val="00F91203"/>
    <w:rsid w:val="00F918B4"/>
    <w:rsid w:val="00F94BB0"/>
    <w:rsid w:val="00F94DFC"/>
    <w:rsid w:val="00F95284"/>
    <w:rsid w:val="00F95751"/>
    <w:rsid w:val="00F96DFF"/>
    <w:rsid w:val="00F9791C"/>
    <w:rsid w:val="00F97E5E"/>
    <w:rsid w:val="00FA08CA"/>
    <w:rsid w:val="00FA1535"/>
    <w:rsid w:val="00FA162B"/>
    <w:rsid w:val="00FA1EA7"/>
    <w:rsid w:val="00FA2C0F"/>
    <w:rsid w:val="00FA412C"/>
    <w:rsid w:val="00FB060D"/>
    <w:rsid w:val="00FB08B1"/>
    <w:rsid w:val="00FB1044"/>
    <w:rsid w:val="00FB1C82"/>
    <w:rsid w:val="00FB368F"/>
    <w:rsid w:val="00FB44D1"/>
    <w:rsid w:val="00FB4EA7"/>
    <w:rsid w:val="00FB566F"/>
    <w:rsid w:val="00FB62BC"/>
    <w:rsid w:val="00FB69FD"/>
    <w:rsid w:val="00FB6C7D"/>
    <w:rsid w:val="00FC197D"/>
    <w:rsid w:val="00FC1E05"/>
    <w:rsid w:val="00FC433C"/>
    <w:rsid w:val="00FC5339"/>
    <w:rsid w:val="00FC53B1"/>
    <w:rsid w:val="00FC76CE"/>
    <w:rsid w:val="00FD0320"/>
    <w:rsid w:val="00FD1970"/>
    <w:rsid w:val="00FD4132"/>
    <w:rsid w:val="00FD4637"/>
    <w:rsid w:val="00FD4D7F"/>
    <w:rsid w:val="00FE1A4D"/>
    <w:rsid w:val="00FE50A5"/>
    <w:rsid w:val="00FE5E33"/>
    <w:rsid w:val="00FE6409"/>
    <w:rsid w:val="00FE6736"/>
    <w:rsid w:val="00FE6F3D"/>
    <w:rsid w:val="00FE7AA8"/>
    <w:rsid w:val="00FE7E9D"/>
    <w:rsid w:val="00FF1202"/>
    <w:rsid w:val="00FF21E6"/>
    <w:rsid w:val="00FF4A67"/>
    <w:rsid w:val="00FF4B7F"/>
    <w:rsid w:val="00FF7104"/>
    <w:rsid w:val="00FF7C56"/>
    <w:rsid w:val="00FF7E5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DF44D"/>
  <w15:docId w15:val="{767DAF0D-5AAE-4C68-B894-5139AD93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36"/>
    <w:rPr>
      <w:rFonts w:ascii="Calibri" w:eastAsia="MS Mincho" w:hAnsi="Calibri"/>
      <w:snapToGrid w:val="0"/>
      <w:sz w:val="22"/>
      <w:szCs w:val="22"/>
      <w:lang w:bidi="ar-SA"/>
    </w:rPr>
  </w:style>
  <w:style w:type="paragraph" w:styleId="Heading1">
    <w:name w:val="heading 1"/>
    <w:basedOn w:val="Normal"/>
    <w:next w:val="Normal"/>
    <w:link w:val="Heading1Char"/>
    <w:uiPriority w:val="9"/>
    <w:qFormat/>
    <w:rsid w:val="00024536"/>
    <w:pPr>
      <w:keepNext/>
      <w:keepLines/>
      <w:spacing w:before="360"/>
      <w:outlineLvl w:val="0"/>
    </w:pPr>
    <w:rPr>
      <w:rFonts w:ascii="Times New Roman" w:hAnsi="Times New Roman" w:cs="Arial"/>
      <w:b/>
      <w:noProof/>
      <w:szCs w:val="24"/>
      <w:lang w:bidi="he-IL"/>
    </w:rPr>
  </w:style>
  <w:style w:type="paragraph" w:styleId="Heading2">
    <w:name w:val="heading 2"/>
    <w:basedOn w:val="Normal"/>
    <w:next w:val="Normal"/>
    <w:link w:val="Heading2Char"/>
    <w:uiPriority w:val="9"/>
    <w:qFormat/>
    <w:rsid w:val="00024536"/>
    <w:pPr>
      <w:keepNext/>
      <w:keepLines/>
      <w:spacing w:before="240"/>
      <w:outlineLvl w:val="1"/>
    </w:pPr>
    <w:rPr>
      <w:rFonts w:ascii="Arial Bold" w:hAnsi="Arial Bold"/>
      <w:b/>
      <w:bCs/>
      <w:lang w:bidi="he-IL"/>
    </w:rPr>
  </w:style>
  <w:style w:type="paragraph" w:styleId="Heading3">
    <w:name w:val="heading 3"/>
    <w:basedOn w:val="Normal"/>
    <w:next w:val="Normal"/>
    <w:link w:val="Heading3Char"/>
    <w:uiPriority w:val="9"/>
    <w:qFormat/>
    <w:rsid w:val="00024536"/>
    <w:pPr>
      <w:keepNext/>
      <w:keepLines/>
      <w:spacing w:before="240"/>
      <w:outlineLvl w:val="2"/>
    </w:pPr>
    <w:rPr>
      <w:rFonts w:ascii="Times New Roman" w:hAnsi="Times New Roman" w:cs="Arial"/>
      <w:i/>
      <w:noProof/>
      <w:szCs w:val="24"/>
      <w:lang w:bidi="he-IL"/>
    </w:rPr>
  </w:style>
  <w:style w:type="paragraph" w:styleId="Heading4">
    <w:name w:val="heading 4"/>
    <w:basedOn w:val="Heading4a"/>
    <w:next w:val="Normal"/>
    <w:link w:val="Heading4Char"/>
    <w:uiPriority w:val="9"/>
    <w:qFormat/>
    <w:rsid w:val="00024536"/>
    <w:pPr>
      <w:spacing w:before="240"/>
    </w:pPr>
    <w:rPr>
      <w:rFonts w:cs="Arial"/>
      <w:iCs w:val="0"/>
      <w:szCs w:val="22"/>
    </w:rPr>
  </w:style>
  <w:style w:type="paragraph" w:styleId="Heading5">
    <w:name w:val="heading 5"/>
    <w:basedOn w:val="Normal"/>
    <w:next w:val="Normal"/>
    <w:link w:val="Heading5Char"/>
    <w:uiPriority w:val="9"/>
    <w:qFormat/>
    <w:rsid w:val="00024536"/>
    <w:pPr>
      <w:spacing w:before="240" w:after="60"/>
      <w:outlineLvl w:val="4"/>
    </w:pPr>
    <w:rPr>
      <w:rFonts w:ascii="Times New Roman Bold" w:hAnsi="Times New Roman Bold" w:cs="Times New Roman Bold"/>
      <w:b/>
      <w:bCs/>
      <w:i/>
      <w:iCs/>
      <w:noProof/>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198"/>
    <w:rPr>
      <w:rFonts w:eastAsia="MS Mincho" w:cs="Arial"/>
      <w:b/>
      <w:noProof/>
      <w:snapToGrid w:val="0"/>
      <w:sz w:val="22"/>
      <w:szCs w:val="24"/>
    </w:rPr>
  </w:style>
  <w:style w:type="character" w:customStyle="1" w:styleId="Heading2Char">
    <w:name w:val="Heading 2 Char"/>
    <w:basedOn w:val="DefaultParagraphFont"/>
    <w:link w:val="Heading2"/>
    <w:uiPriority w:val="9"/>
    <w:rsid w:val="00B53198"/>
    <w:rPr>
      <w:rFonts w:ascii="Arial Bold" w:eastAsia="MS Mincho" w:hAnsi="Arial Bold"/>
      <w:b/>
      <w:bCs/>
      <w:snapToGrid w:val="0"/>
      <w:sz w:val="22"/>
      <w:szCs w:val="22"/>
    </w:rPr>
  </w:style>
  <w:style w:type="character" w:customStyle="1" w:styleId="Heading3Char">
    <w:name w:val="Heading 3 Char"/>
    <w:basedOn w:val="DefaultParagraphFont"/>
    <w:link w:val="Heading3"/>
    <w:uiPriority w:val="9"/>
    <w:rsid w:val="00B53198"/>
    <w:rPr>
      <w:rFonts w:eastAsia="MS Mincho" w:cs="Arial"/>
      <w:i/>
      <w:noProof/>
      <w:snapToGrid w:val="0"/>
      <w:sz w:val="22"/>
      <w:szCs w:val="24"/>
    </w:rPr>
  </w:style>
  <w:style w:type="character" w:customStyle="1" w:styleId="Heading4Char">
    <w:name w:val="Heading 4 Char"/>
    <w:basedOn w:val="DefaultParagraphFont"/>
    <w:link w:val="Heading4"/>
    <w:uiPriority w:val="9"/>
    <w:rsid w:val="00B53198"/>
    <w:rPr>
      <w:rFonts w:ascii="Arial" w:eastAsia="MS Mincho" w:hAnsi="Arial" w:cs="Arial"/>
      <w:snapToGrid w:val="0"/>
      <w:sz w:val="22"/>
      <w:szCs w:val="22"/>
    </w:rPr>
  </w:style>
  <w:style w:type="character" w:customStyle="1" w:styleId="Heading5Char">
    <w:name w:val="Heading 5 Char"/>
    <w:basedOn w:val="DefaultParagraphFont"/>
    <w:link w:val="Heading5"/>
    <w:uiPriority w:val="9"/>
    <w:rsid w:val="00B53198"/>
    <w:rPr>
      <w:rFonts w:ascii="Times New Roman Bold" w:eastAsia="MS Mincho" w:hAnsi="Times New Roman Bold" w:cs="Times New Roman Bold"/>
      <w:b/>
      <w:bCs/>
      <w:i/>
      <w:iCs/>
      <w:noProof/>
      <w:sz w:val="22"/>
      <w:szCs w:val="22"/>
      <w:lang w:bidi="ar-SA"/>
    </w:rPr>
  </w:style>
  <w:style w:type="paragraph" w:customStyle="1" w:styleId="J1">
    <w:name w:val="J1"/>
    <w:basedOn w:val="Normal"/>
    <w:rsid w:val="00024536"/>
    <w:pPr>
      <w:spacing w:before="60"/>
      <w:jc w:val="both"/>
    </w:pPr>
    <w:rPr>
      <w:rFonts w:ascii="Times New Roman" w:hAnsi="Times New Roman" w:cs="Arial"/>
      <w:noProof/>
      <w:szCs w:val="24"/>
      <w:lang w:bidi="he-IL"/>
    </w:rPr>
  </w:style>
  <w:style w:type="paragraph" w:customStyle="1" w:styleId="Heading3a">
    <w:name w:val="Heading 3a"/>
    <w:basedOn w:val="Heading3"/>
    <w:rsid w:val="00024536"/>
    <w:pPr>
      <w:spacing w:before="60"/>
    </w:pPr>
    <w:rPr>
      <w:iCs/>
    </w:rPr>
  </w:style>
  <w:style w:type="paragraph" w:customStyle="1" w:styleId="J2">
    <w:name w:val="J2"/>
    <w:basedOn w:val="J1"/>
    <w:qFormat/>
    <w:rsid w:val="00024536"/>
    <w:pPr>
      <w:spacing w:before="240"/>
    </w:pPr>
  </w:style>
  <w:style w:type="paragraph" w:customStyle="1" w:styleId="RH">
    <w:name w:val="RH"/>
    <w:basedOn w:val="Normal"/>
    <w:qFormat/>
    <w:rsid w:val="00024536"/>
    <w:pPr>
      <w:spacing w:before="60" w:after="60"/>
    </w:pPr>
    <w:rPr>
      <w:snapToGrid/>
      <w:sz w:val="16"/>
      <w:szCs w:val="16"/>
    </w:rPr>
  </w:style>
  <w:style w:type="paragraph" w:customStyle="1" w:styleId="Heading4a">
    <w:name w:val="Heading 4a"/>
    <w:qFormat/>
    <w:rsid w:val="00024536"/>
    <w:pPr>
      <w:keepNext/>
      <w:keepLines/>
      <w:spacing w:before="60"/>
      <w:outlineLvl w:val="3"/>
    </w:pPr>
    <w:rPr>
      <w:rFonts w:ascii="Arial" w:eastAsia="MS Mincho" w:hAnsi="Arial"/>
      <w:iCs/>
      <w:snapToGrid w:val="0"/>
      <w:sz w:val="22"/>
      <w:szCs w:val="28"/>
    </w:rPr>
  </w:style>
  <w:style w:type="paragraph" w:customStyle="1" w:styleId="T2">
    <w:name w:val="T2"/>
    <w:rsid w:val="00024536"/>
    <w:pPr>
      <w:spacing w:before="60" w:after="60"/>
    </w:pPr>
    <w:rPr>
      <w:rFonts w:eastAsia="MS Mincho"/>
      <w:snapToGrid w:val="0"/>
      <w:sz w:val="19"/>
      <w:szCs w:val="19"/>
      <w:lang w:bidi="ar-SA"/>
    </w:rPr>
  </w:style>
  <w:style w:type="paragraph" w:customStyle="1" w:styleId="T1">
    <w:name w:val="T1"/>
    <w:basedOn w:val="J1"/>
    <w:rsid w:val="00024536"/>
    <w:pPr>
      <w:spacing w:after="60"/>
      <w:jc w:val="left"/>
    </w:pPr>
    <w:rPr>
      <w:rFonts w:cs="Times New Roman"/>
      <w:sz w:val="19"/>
      <w:szCs w:val="19"/>
    </w:rPr>
  </w:style>
  <w:style w:type="paragraph" w:customStyle="1" w:styleId="T1a">
    <w:name w:val="T1a"/>
    <w:basedOn w:val="T2"/>
    <w:rsid w:val="00024536"/>
    <w:pPr>
      <w:spacing w:after="0"/>
    </w:pPr>
  </w:style>
  <w:style w:type="paragraph" w:customStyle="1" w:styleId="T1b">
    <w:name w:val="T1b"/>
    <w:basedOn w:val="T2"/>
    <w:rsid w:val="00024536"/>
    <w:pPr>
      <w:spacing w:before="0"/>
    </w:pPr>
  </w:style>
  <w:style w:type="paragraph" w:customStyle="1" w:styleId="THead">
    <w:name w:val="THead"/>
    <w:basedOn w:val="J1"/>
    <w:rsid w:val="00024536"/>
    <w:pPr>
      <w:keepNext/>
      <w:keepLines/>
      <w:spacing w:before="240" w:after="120"/>
      <w:jc w:val="left"/>
    </w:pPr>
    <w:rPr>
      <w:b/>
      <w:bCs/>
    </w:rPr>
  </w:style>
  <w:style w:type="paragraph" w:customStyle="1" w:styleId="THead2">
    <w:name w:val="THead2"/>
    <w:basedOn w:val="THead"/>
    <w:rsid w:val="00024536"/>
    <w:rPr>
      <w:b w:val="0"/>
      <w:bCs w:val="0"/>
    </w:rPr>
  </w:style>
  <w:style w:type="paragraph" w:customStyle="1" w:styleId="T3">
    <w:name w:val="T3"/>
    <w:basedOn w:val="T1"/>
    <w:qFormat/>
    <w:rsid w:val="00024536"/>
    <w:pPr>
      <w:jc w:val="center"/>
    </w:pPr>
    <w:rPr>
      <w:sz w:val="18"/>
      <w:szCs w:val="18"/>
    </w:rPr>
  </w:style>
  <w:style w:type="paragraph" w:customStyle="1" w:styleId="Heading5a">
    <w:name w:val="Heading 5a"/>
    <w:basedOn w:val="Heading5"/>
    <w:link w:val="Heading5aChar"/>
    <w:qFormat/>
    <w:rsid w:val="00024536"/>
    <w:pPr>
      <w:spacing w:before="60"/>
    </w:pPr>
    <w:rPr>
      <w:lang w:bidi="he-IL"/>
    </w:rPr>
  </w:style>
  <w:style w:type="paragraph" w:styleId="Header">
    <w:name w:val="header"/>
    <w:basedOn w:val="Normal"/>
    <w:link w:val="HeaderChar"/>
    <w:uiPriority w:val="99"/>
    <w:rsid w:val="00024536"/>
    <w:pPr>
      <w:tabs>
        <w:tab w:val="center" w:pos="4680"/>
        <w:tab w:val="right" w:pos="9360"/>
      </w:tabs>
    </w:pPr>
  </w:style>
  <w:style w:type="character" w:customStyle="1" w:styleId="HeaderChar">
    <w:name w:val="Header Char"/>
    <w:basedOn w:val="DefaultParagraphFont"/>
    <w:link w:val="Header"/>
    <w:uiPriority w:val="99"/>
    <w:rsid w:val="00B53198"/>
    <w:rPr>
      <w:rFonts w:ascii="Calibri" w:eastAsia="MS Mincho" w:hAnsi="Calibri"/>
      <w:snapToGrid w:val="0"/>
      <w:sz w:val="22"/>
      <w:szCs w:val="22"/>
      <w:lang w:bidi="ar-SA"/>
    </w:rPr>
  </w:style>
  <w:style w:type="paragraph" w:customStyle="1" w:styleId="HdCentNoNum">
    <w:name w:val="Hd:CentNoNum"/>
    <w:basedOn w:val="Normal"/>
    <w:next w:val="Normal"/>
    <w:rsid w:val="00024536"/>
    <w:pPr>
      <w:keepNext/>
      <w:spacing w:before="113" w:after="57" w:line="280" w:lineRule="atLeast"/>
      <w:jc w:val="center"/>
    </w:pPr>
    <w:rPr>
      <w:b/>
      <w:bCs/>
      <w:caps/>
      <w:snapToGrid/>
      <w:sz w:val="28"/>
      <w:szCs w:val="28"/>
    </w:rPr>
  </w:style>
  <w:style w:type="paragraph" w:customStyle="1" w:styleId="Titel2Anfang">
    <w:name w:val="Titel 2 Anfang"/>
    <w:basedOn w:val="Normal"/>
    <w:rsid w:val="00024536"/>
    <w:pPr>
      <w:keepNext/>
      <w:spacing w:before="120"/>
    </w:pPr>
    <w:rPr>
      <w:rFonts w:ascii="Times New Roman" w:hAnsi="Times New Roman"/>
      <w:b/>
      <w:bCs/>
      <w:snapToGrid/>
    </w:rPr>
  </w:style>
  <w:style w:type="paragraph" w:customStyle="1" w:styleId="Text">
    <w:name w:val="Text"/>
    <w:basedOn w:val="Normal"/>
    <w:rsid w:val="00024536"/>
    <w:pPr>
      <w:spacing w:before="60"/>
      <w:jc w:val="both"/>
    </w:pPr>
    <w:rPr>
      <w:rFonts w:ascii="Times New Roman" w:eastAsia="Arial Unicode MS" w:hAnsi="Times New Roman"/>
      <w:snapToGrid/>
    </w:rPr>
  </w:style>
  <w:style w:type="paragraph" w:customStyle="1" w:styleId="TextTi12">
    <w:name w:val="Text:Ti12"/>
    <w:basedOn w:val="Normal"/>
    <w:link w:val="TextTi12Char1"/>
    <w:rsid w:val="00024536"/>
    <w:pPr>
      <w:spacing w:after="170" w:line="280" w:lineRule="atLeast"/>
      <w:jc w:val="both"/>
    </w:pPr>
    <w:rPr>
      <w:snapToGrid/>
      <w:sz w:val="24"/>
      <w:szCs w:val="24"/>
    </w:rPr>
  </w:style>
  <w:style w:type="paragraph" w:styleId="FootnoteText">
    <w:name w:val="footnote text"/>
    <w:basedOn w:val="Normal"/>
    <w:link w:val="FootnoteTextChar"/>
    <w:uiPriority w:val="99"/>
    <w:semiHidden/>
    <w:rsid w:val="00024536"/>
    <w:pPr>
      <w:ind w:left="216" w:hanging="216"/>
    </w:pPr>
    <w:rPr>
      <w:sz w:val="20"/>
      <w:szCs w:val="20"/>
    </w:rPr>
  </w:style>
  <w:style w:type="character" w:customStyle="1" w:styleId="FootnoteTextChar">
    <w:name w:val="Footnote Text Char"/>
    <w:basedOn w:val="DefaultParagraphFont"/>
    <w:link w:val="FootnoteText"/>
    <w:uiPriority w:val="99"/>
    <w:semiHidden/>
    <w:rsid w:val="00B53198"/>
    <w:rPr>
      <w:rFonts w:ascii="Calibri" w:eastAsia="MS Mincho" w:hAnsi="Calibri"/>
      <w:snapToGrid w:val="0"/>
      <w:lang w:bidi="ar-SA"/>
    </w:rPr>
  </w:style>
  <w:style w:type="character" w:styleId="FootnoteReference">
    <w:name w:val="footnote reference"/>
    <w:basedOn w:val="DefaultParagraphFont"/>
    <w:uiPriority w:val="99"/>
    <w:semiHidden/>
    <w:rsid w:val="00024536"/>
    <w:rPr>
      <w:rFonts w:cs="Times New Roman"/>
      <w:vertAlign w:val="superscript"/>
    </w:rPr>
  </w:style>
  <w:style w:type="character" w:styleId="CommentReference">
    <w:name w:val="annotation reference"/>
    <w:basedOn w:val="DefaultParagraphFont"/>
    <w:uiPriority w:val="99"/>
    <w:semiHidden/>
    <w:unhideWhenUsed/>
    <w:rsid w:val="00024536"/>
    <w:rPr>
      <w:sz w:val="16"/>
      <w:szCs w:val="16"/>
    </w:rPr>
  </w:style>
  <w:style w:type="paragraph" w:styleId="CommentText">
    <w:name w:val="annotation text"/>
    <w:basedOn w:val="Normal"/>
    <w:link w:val="CommentTextChar"/>
    <w:uiPriority w:val="99"/>
    <w:semiHidden/>
    <w:unhideWhenUsed/>
    <w:rsid w:val="00024536"/>
    <w:rPr>
      <w:rFonts w:ascii="Arial" w:hAnsi="Arial" w:cs="Arial"/>
      <w:sz w:val="16"/>
      <w:szCs w:val="16"/>
    </w:rPr>
  </w:style>
  <w:style w:type="character" w:customStyle="1" w:styleId="CommentTextChar">
    <w:name w:val="Comment Text Char"/>
    <w:basedOn w:val="DefaultParagraphFont"/>
    <w:link w:val="CommentText"/>
    <w:uiPriority w:val="99"/>
    <w:semiHidden/>
    <w:rsid w:val="00A459F4"/>
    <w:rPr>
      <w:rFonts w:ascii="Arial" w:eastAsia="MS Mincho" w:hAnsi="Arial" w:cs="Arial"/>
      <w:snapToGrid w:val="0"/>
      <w:sz w:val="16"/>
      <w:szCs w:val="16"/>
      <w:lang w:bidi="ar-SA"/>
    </w:rPr>
  </w:style>
  <w:style w:type="paragraph" w:styleId="Revision">
    <w:name w:val="Revision"/>
    <w:hidden/>
    <w:uiPriority w:val="99"/>
    <w:semiHidden/>
    <w:rsid w:val="00A459F4"/>
    <w:rPr>
      <w:rFonts w:ascii="Arial" w:hAnsi="Arial" w:cs="Arial"/>
      <w:sz w:val="22"/>
      <w:szCs w:val="22"/>
      <w:lang w:eastAsia="en-GB" w:bidi="ar-SA"/>
    </w:rPr>
  </w:style>
  <w:style w:type="paragraph" w:styleId="BalloonText">
    <w:name w:val="Balloon Text"/>
    <w:basedOn w:val="Normal"/>
    <w:link w:val="BalloonTextChar"/>
    <w:uiPriority w:val="99"/>
    <w:semiHidden/>
    <w:unhideWhenUsed/>
    <w:rsid w:val="00024536"/>
    <w:rPr>
      <w:rFonts w:ascii="Tahoma" w:hAnsi="Tahoma" w:cs="Tahoma"/>
      <w:sz w:val="16"/>
      <w:szCs w:val="16"/>
    </w:rPr>
  </w:style>
  <w:style w:type="character" w:customStyle="1" w:styleId="BalloonTextChar">
    <w:name w:val="Balloon Text Char"/>
    <w:basedOn w:val="DefaultParagraphFont"/>
    <w:link w:val="BalloonText"/>
    <w:uiPriority w:val="99"/>
    <w:semiHidden/>
    <w:rsid w:val="00A459F4"/>
    <w:rPr>
      <w:rFonts w:ascii="Tahoma" w:eastAsia="MS Mincho" w:hAnsi="Tahoma" w:cs="Tahoma"/>
      <w:snapToGrid w:val="0"/>
      <w:sz w:val="16"/>
      <w:szCs w:val="16"/>
      <w:lang w:bidi="ar-SA"/>
    </w:rPr>
  </w:style>
  <w:style w:type="paragraph" w:customStyle="1" w:styleId="Heading2a">
    <w:name w:val="Heading 2a"/>
    <w:basedOn w:val="Heading2"/>
    <w:qFormat/>
    <w:rsid w:val="00A459F4"/>
    <w:pPr>
      <w:spacing w:before="60"/>
    </w:pPr>
    <w:rPr>
      <w:rFonts w:eastAsia="Times New Roman" w:cs="Arial"/>
      <w:lang w:eastAsia="en-GB"/>
    </w:rPr>
  </w:style>
  <w:style w:type="character" w:styleId="Hyperlink">
    <w:name w:val="Hyperlink"/>
    <w:basedOn w:val="DefaultParagraphFont"/>
    <w:uiPriority w:val="99"/>
    <w:rsid w:val="00A459F4"/>
    <w:rPr>
      <w:rFonts w:cs="Times New Roman"/>
      <w:color w:val="0000FF"/>
      <w:u w:val="single"/>
    </w:rPr>
  </w:style>
  <w:style w:type="character" w:customStyle="1" w:styleId="Heading5aChar">
    <w:name w:val="Heading 5a Char"/>
    <w:basedOn w:val="Heading5Char"/>
    <w:link w:val="Heading5a"/>
    <w:rsid w:val="00A459F4"/>
    <w:rPr>
      <w:rFonts w:ascii="Times New Roman Bold" w:eastAsia="MS Mincho" w:hAnsi="Times New Roman Bold" w:cs="Times New Roman Bold"/>
      <w:b/>
      <w:bCs/>
      <w:i/>
      <w:iCs/>
      <w:noProof/>
      <w:sz w:val="22"/>
      <w:szCs w:val="22"/>
      <w:lang w:bidi="ar-SA"/>
    </w:rPr>
  </w:style>
  <w:style w:type="paragraph" w:styleId="CommentSubject">
    <w:name w:val="annotation subject"/>
    <w:basedOn w:val="CommentText"/>
    <w:next w:val="CommentText"/>
    <w:link w:val="CommentSubjectChar"/>
    <w:uiPriority w:val="99"/>
    <w:semiHidden/>
    <w:unhideWhenUsed/>
    <w:rsid w:val="00024536"/>
    <w:rPr>
      <w:b/>
      <w:bCs/>
    </w:rPr>
  </w:style>
  <w:style w:type="character" w:customStyle="1" w:styleId="CommentSubjectChar">
    <w:name w:val="Comment Subject Char"/>
    <w:basedOn w:val="CommentTextChar"/>
    <w:link w:val="CommentSubject"/>
    <w:uiPriority w:val="99"/>
    <w:semiHidden/>
    <w:rsid w:val="00A459F4"/>
    <w:rPr>
      <w:rFonts w:ascii="Arial" w:eastAsia="MS Mincho" w:hAnsi="Arial" w:cs="Arial"/>
      <w:b/>
      <w:bCs/>
      <w:snapToGrid w:val="0"/>
      <w:sz w:val="16"/>
      <w:szCs w:val="16"/>
      <w:lang w:bidi="ar-SA"/>
    </w:rPr>
  </w:style>
  <w:style w:type="paragraph" w:styleId="Footer">
    <w:name w:val="footer"/>
    <w:basedOn w:val="Normal"/>
    <w:link w:val="FooterChar"/>
    <w:uiPriority w:val="99"/>
    <w:unhideWhenUsed/>
    <w:rsid w:val="00A459F4"/>
    <w:pPr>
      <w:tabs>
        <w:tab w:val="center" w:pos="4680"/>
        <w:tab w:val="right" w:pos="9360"/>
      </w:tabs>
    </w:pPr>
    <w:rPr>
      <w:rFonts w:ascii="Arial" w:eastAsia="Times New Roman" w:hAnsi="Arial" w:cs="Arial"/>
      <w:snapToGrid/>
      <w:lang w:eastAsia="en-GB"/>
    </w:rPr>
  </w:style>
  <w:style w:type="character" w:customStyle="1" w:styleId="FooterChar">
    <w:name w:val="Footer Char"/>
    <w:basedOn w:val="DefaultParagraphFont"/>
    <w:link w:val="Footer"/>
    <w:uiPriority w:val="99"/>
    <w:rsid w:val="00A459F4"/>
    <w:rPr>
      <w:rFonts w:ascii="Arial" w:hAnsi="Arial" w:cs="Arial"/>
      <w:sz w:val="22"/>
      <w:szCs w:val="22"/>
      <w:lang w:eastAsia="en-GB" w:bidi="ar-SA"/>
    </w:rPr>
  </w:style>
  <w:style w:type="character" w:customStyle="1" w:styleId="TextTi12Char1">
    <w:name w:val="Text:Ti12 Char1"/>
    <w:link w:val="TextTi12"/>
    <w:rsid w:val="00A459F4"/>
    <w:rPr>
      <w:rFonts w:ascii="Calibri" w:eastAsia="MS Mincho" w:hAnsi="Calibr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57520">
      <w:marLeft w:val="0"/>
      <w:marRight w:val="0"/>
      <w:marTop w:val="0"/>
      <w:marBottom w:val="0"/>
      <w:divBdr>
        <w:top w:val="none" w:sz="0" w:space="0" w:color="auto"/>
        <w:left w:val="none" w:sz="0" w:space="0" w:color="auto"/>
        <w:bottom w:val="none" w:sz="0" w:space="0" w:color="auto"/>
        <w:right w:val="none" w:sz="0" w:space="0" w:color="auto"/>
      </w:divBdr>
    </w:div>
    <w:div w:id="6988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974E6-1E68-46FE-A959-252D40E48991}">
  <ds:schemaRefs>
    <ds:schemaRef ds:uri="http://schemas.openxmlformats.org/officeDocument/2006/bibliography"/>
  </ds:schemaRefs>
</ds:datastoreItem>
</file>

<file path=customXml/itemProps2.xml><?xml version="1.0" encoding="utf-8"?>
<ds:datastoreItem xmlns:ds="http://schemas.openxmlformats.org/officeDocument/2006/customXml" ds:itemID="{7E021C1A-61E2-4EC6-9E14-BA81378B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11413</Words>
  <Characters>65055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FI Herceptin: December 2020</vt:lpstr>
    </vt:vector>
  </TitlesOfParts>
  <Company/>
  <LinksUpToDate>false</LinksUpToDate>
  <CharactersWithSpaces>76316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 Herceptin: December 2020</dc:title>
  <dc:subject>English translation (Charles Kreeger)</dc:subject>
  <dc:creator>Charles Kreeger</dc:creator>
  <cp:keywords/>
  <dc:description/>
  <cp:lastModifiedBy>Tork, Heba {MWJD~Cairo}</cp:lastModifiedBy>
  <cp:revision>6</cp:revision>
  <cp:lastPrinted>2021-06-21T16:03:00Z</cp:lastPrinted>
  <dcterms:created xsi:type="dcterms:W3CDTF">2021-06-16T06:32:00Z</dcterms:created>
  <dcterms:modified xsi:type="dcterms:W3CDTF">2021-06-21T16:03:00Z</dcterms:modified>
</cp:coreProperties>
</file>